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shd w:val="clear" w:color="auto" w:fill="auto"/>
          </w:tcPr>
          <w:p w14:paraId="190DC5E0" w14:textId="77777777" w:rsidR="00F72F39" w:rsidRDefault="00F72F39"/>
        </w:tc>
        <w:tc>
          <w:tcPr>
            <w:tcW w:w="9636" w:type="dxa"/>
            <w:shd w:val="clear" w:color="auto" w:fill="auto"/>
          </w:tcPr>
          <w:p w14:paraId="614688F1" w14:textId="77777777" w:rsidR="006F5C6A" w:rsidRDefault="006F5C6A" w:rsidP="00C04337">
            <w:pPr>
              <w:pStyle w:val="Cover-ReportTitle"/>
            </w:pPr>
            <w:bookmarkStart w:id="0" w:name="_Hlk163741831"/>
          </w:p>
          <w:p w14:paraId="406CD2EE" w14:textId="06360410" w:rsidR="00C04337" w:rsidRPr="00CC6E42" w:rsidRDefault="00F361B0" w:rsidP="00C04337">
            <w:pPr>
              <w:pStyle w:val="Cover-ReportTitle"/>
            </w:pPr>
            <w:r>
              <w:t>Competitive Flexible Procedure</w:t>
            </w:r>
            <w:r w:rsidR="00C04337">
              <w:t xml:space="preserve"> </w:t>
            </w:r>
            <w:r>
              <w:t>(P</w:t>
            </w:r>
            <w:r w:rsidR="006461CC">
              <w:t xml:space="preserve">rocurement </w:t>
            </w:r>
            <w:r>
              <w:t>A</w:t>
            </w:r>
            <w:r w:rsidR="006461CC">
              <w:t>ct</w:t>
            </w:r>
            <w:r>
              <w:t> 2023)</w:t>
            </w:r>
          </w:p>
          <w:bookmarkEnd w:id="0"/>
          <w:p w14:paraId="29E4C2EA" w14:textId="6B9E918E" w:rsidR="00C04337" w:rsidRDefault="00396772" w:rsidP="00C04337">
            <w:pPr>
              <w:pStyle w:val="Cover-Subtitle"/>
            </w:pPr>
            <w:r>
              <w:t>Fund Administration &amp; Custody Services</w:t>
            </w:r>
          </w:p>
          <w:p w14:paraId="196D80F4" w14:textId="22BB9D73" w:rsidR="00C04337" w:rsidRDefault="00D46D01" w:rsidP="00C04337">
            <w:pPr>
              <w:pStyle w:val="Cover-Subtitle"/>
            </w:pPr>
            <w:r>
              <w:t>P00</w:t>
            </w:r>
            <w:r w:rsidR="00396772">
              <w:t>2</w:t>
            </w:r>
            <w:r>
              <w:t>25</w:t>
            </w:r>
          </w:p>
          <w:p w14:paraId="18F8CC49" w14:textId="2FE294F5" w:rsidR="00F72F39" w:rsidRDefault="006F5C6A" w:rsidP="00C04337">
            <w:pPr>
              <w:pStyle w:val="Cover-Subtitle"/>
            </w:pPr>
            <w:r>
              <w:t>Ian Inglis</w:t>
            </w:r>
          </w:p>
        </w:tc>
      </w:tr>
      <w:tr w:rsidR="00F72F39" w14:paraId="4F90307C" w14:textId="77777777" w:rsidTr="00CB63E6">
        <w:trPr>
          <w:trHeight w:val="1191"/>
        </w:trPr>
        <w:tc>
          <w:tcPr>
            <w:tcW w:w="173" w:type="dxa"/>
            <w:shd w:val="clear" w:color="auto" w:fill="auto"/>
          </w:tcPr>
          <w:p w14:paraId="764DC482" w14:textId="77777777" w:rsidR="00F72F39" w:rsidRDefault="00F72F39">
            <w:pPr>
              <w:pBdr>
                <w:top w:val="nil"/>
                <w:left w:val="nil"/>
                <w:bottom w:val="nil"/>
                <w:right w:val="nil"/>
                <w:between w:val="nil"/>
              </w:pBdr>
              <w:rPr>
                <w:color w:val="000000"/>
              </w:rPr>
            </w:pPr>
          </w:p>
        </w:tc>
        <w:tc>
          <w:tcPr>
            <w:tcW w:w="9636" w:type="dxa"/>
            <w:shd w:val="clear" w:color="auto" w:fill="auto"/>
          </w:tcPr>
          <w:p w14:paraId="2078A64A" w14:textId="5DB98816" w:rsidR="00F72F39" w:rsidRDefault="00B745B9" w:rsidP="002C710C">
            <w:pPr>
              <w:pStyle w:val="Cover-Date"/>
            </w:pPr>
            <w:r>
              <w:t>June</w:t>
            </w:r>
            <w:r w:rsidR="00360FFA">
              <w:t xml:space="preserve"> </w:t>
            </w:r>
            <w:r w:rsidR="006F5C6A">
              <w:t>2025</w:t>
            </w:r>
          </w:p>
        </w:tc>
      </w:tr>
    </w:tbl>
    <w:p w14:paraId="69A0E973" w14:textId="77777777" w:rsidR="00F72F39" w:rsidRDefault="00F72F39">
      <w:pPr>
        <w:pBdr>
          <w:top w:val="nil"/>
          <w:left w:val="nil"/>
          <w:bottom w:val="nil"/>
          <w:right w:val="nil"/>
          <w:between w:val="nil"/>
        </w:pBdr>
        <w:rPr>
          <w:color w:val="000000"/>
        </w:rPr>
      </w:pPr>
    </w:p>
    <w:p w14:paraId="5D28C9E6" w14:textId="77777777" w:rsidR="00F72F39" w:rsidRDefault="004E76AE">
      <w:pPr>
        <w:pBdr>
          <w:top w:val="nil"/>
          <w:left w:val="nil"/>
          <w:bottom w:val="nil"/>
          <w:right w:val="nil"/>
          <w:between w:val="nil"/>
        </w:pBdr>
      </w:pPr>
      <w:r>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4A1C8E" w14:paraId="3E941AA0" w14:textId="77777777" w:rsidTr="00CB63E6">
        <w:trPr>
          <w:cantSplit/>
          <w:tblHeader/>
        </w:trPr>
        <w:tc>
          <w:tcPr>
            <w:tcW w:w="9512" w:type="dxa"/>
            <w:gridSpan w:val="4"/>
            <w:tcBorders>
              <w:top w:val="nil"/>
              <w:bottom w:val="nil"/>
            </w:tcBorders>
            <w:shd w:val="clear" w:color="auto" w:fill="auto"/>
          </w:tcPr>
          <w:p w14:paraId="00D676B1" w14:textId="77777777" w:rsidR="004A1C8E" w:rsidRPr="002C710C" w:rsidRDefault="004A1C8E" w:rsidP="009E4535">
            <w:pPr>
              <w:rPr>
                <w:b/>
                <w:bCs/>
              </w:rPr>
            </w:pPr>
            <w:r>
              <w:rPr>
                <w:b/>
                <w:bCs/>
              </w:rPr>
              <w:lastRenderedPageBreak/>
              <w:t>Version control</w:t>
            </w:r>
          </w:p>
        </w:tc>
      </w:tr>
      <w:tr w:rsidR="004A1C8E" w14:paraId="75F7F9B3" w14:textId="77777777" w:rsidTr="00CB63E6">
        <w:trPr>
          <w:cantSplit/>
        </w:trPr>
        <w:tc>
          <w:tcPr>
            <w:tcW w:w="1950" w:type="dxa"/>
            <w:tcBorders>
              <w:top w:val="nil"/>
            </w:tcBorders>
            <w:shd w:val="clear" w:color="auto" w:fill="D9EBFF"/>
          </w:tcPr>
          <w:p w14:paraId="52CE3A0D"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D9EBFF"/>
          </w:tcPr>
          <w:p w14:paraId="4C95E66E" w14:textId="77777777" w:rsidR="004A1C8E" w:rsidRPr="002C710C" w:rsidRDefault="004A1C8E" w:rsidP="009E4535">
            <w:pPr>
              <w:rPr>
                <w:b/>
                <w:bCs/>
              </w:rPr>
            </w:pPr>
            <w:r w:rsidRPr="002C710C">
              <w:rPr>
                <w:b/>
                <w:bCs/>
              </w:rPr>
              <w:t>Author</w:t>
            </w:r>
          </w:p>
        </w:tc>
        <w:tc>
          <w:tcPr>
            <w:tcW w:w="1701" w:type="dxa"/>
            <w:tcBorders>
              <w:top w:val="nil"/>
            </w:tcBorders>
            <w:shd w:val="clear" w:color="auto" w:fill="D9EBFF"/>
          </w:tcPr>
          <w:p w14:paraId="2DB5DE68" w14:textId="77777777" w:rsidR="004A1C8E" w:rsidRPr="002C710C" w:rsidRDefault="004A1C8E" w:rsidP="009E4535">
            <w:pPr>
              <w:rPr>
                <w:b/>
                <w:bCs/>
              </w:rPr>
            </w:pPr>
            <w:r w:rsidRPr="002C710C">
              <w:rPr>
                <w:b/>
                <w:bCs/>
              </w:rPr>
              <w:t>Date</w:t>
            </w:r>
          </w:p>
        </w:tc>
        <w:tc>
          <w:tcPr>
            <w:tcW w:w="3593" w:type="dxa"/>
            <w:tcBorders>
              <w:top w:val="nil"/>
            </w:tcBorders>
            <w:shd w:val="clear" w:color="auto" w:fill="D9EBFF"/>
          </w:tcPr>
          <w:p w14:paraId="35220A75" w14:textId="77777777" w:rsidR="004A1C8E" w:rsidRPr="002C710C" w:rsidRDefault="004A1C8E" w:rsidP="009E4535">
            <w:pPr>
              <w:rPr>
                <w:b/>
                <w:bCs/>
              </w:rPr>
            </w:pPr>
            <w:r w:rsidRPr="002C710C">
              <w:rPr>
                <w:b/>
                <w:bCs/>
              </w:rPr>
              <w:t>Changes</w:t>
            </w:r>
          </w:p>
        </w:tc>
      </w:tr>
      <w:tr w:rsidR="004A1C8E" w14:paraId="5A3F7DC2" w14:textId="77777777" w:rsidTr="00CB63E6">
        <w:trPr>
          <w:cantSplit/>
        </w:trPr>
        <w:tc>
          <w:tcPr>
            <w:tcW w:w="1950" w:type="dxa"/>
          </w:tcPr>
          <w:p w14:paraId="45334801" w14:textId="55C6A8C4" w:rsidR="004A1C8E" w:rsidRDefault="004553B7" w:rsidP="009E4535">
            <w:pPr>
              <w:rPr>
                <w:color w:val="000000"/>
              </w:rPr>
            </w:pPr>
            <w:r>
              <w:rPr>
                <w:color w:val="000000"/>
              </w:rPr>
              <w:t>0.1</w:t>
            </w:r>
          </w:p>
        </w:tc>
        <w:tc>
          <w:tcPr>
            <w:tcW w:w="2268" w:type="dxa"/>
          </w:tcPr>
          <w:p w14:paraId="5B5E317E" w14:textId="77777777" w:rsidR="004A1C8E" w:rsidRDefault="004A1C8E" w:rsidP="009E4535">
            <w:pPr>
              <w:rPr>
                <w:color w:val="000000"/>
              </w:rPr>
            </w:pPr>
          </w:p>
        </w:tc>
        <w:tc>
          <w:tcPr>
            <w:tcW w:w="1701" w:type="dxa"/>
          </w:tcPr>
          <w:p w14:paraId="479D9487" w14:textId="688F6C76" w:rsidR="004A1C8E" w:rsidRDefault="004553B7" w:rsidP="009E4535">
            <w:pPr>
              <w:rPr>
                <w:color w:val="000000"/>
              </w:rPr>
            </w:pPr>
            <w:r>
              <w:rPr>
                <w:color w:val="000000"/>
              </w:rPr>
              <w:t>18</w:t>
            </w:r>
            <w:r w:rsidRPr="004553B7">
              <w:rPr>
                <w:color w:val="000000"/>
                <w:vertAlign w:val="superscript"/>
              </w:rPr>
              <w:t>th</w:t>
            </w:r>
            <w:r>
              <w:rPr>
                <w:color w:val="000000"/>
              </w:rPr>
              <w:t xml:space="preserve"> Feb 25</w:t>
            </w:r>
          </w:p>
        </w:tc>
        <w:tc>
          <w:tcPr>
            <w:tcW w:w="3593" w:type="dxa"/>
          </w:tcPr>
          <w:p w14:paraId="0357CC26" w14:textId="73263400" w:rsidR="004A1C8E" w:rsidRDefault="004553B7" w:rsidP="009E4535">
            <w:pPr>
              <w:rPr>
                <w:color w:val="000000"/>
              </w:rPr>
            </w:pPr>
            <w:r>
              <w:rPr>
                <w:color w:val="000000"/>
              </w:rPr>
              <w:t>Template modified to reflect LCIV requirements.</w:t>
            </w:r>
          </w:p>
        </w:tc>
      </w:tr>
      <w:tr w:rsidR="004A1C8E" w14:paraId="69413C0E" w14:textId="77777777" w:rsidTr="00CB63E6">
        <w:trPr>
          <w:cantSplit/>
          <w:trHeight w:val="264"/>
        </w:trPr>
        <w:tc>
          <w:tcPr>
            <w:tcW w:w="1950" w:type="dxa"/>
          </w:tcPr>
          <w:p w14:paraId="50C85EE8" w14:textId="56A032F6" w:rsidR="004A1C8E" w:rsidRDefault="004A1C8E" w:rsidP="009E4535">
            <w:pPr>
              <w:rPr>
                <w:color w:val="000000"/>
              </w:rPr>
            </w:pPr>
          </w:p>
        </w:tc>
        <w:tc>
          <w:tcPr>
            <w:tcW w:w="2268" w:type="dxa"/>
          </w:tcPr>
          <w:p w14:paraId="31EDC58C" w14:textId="77777777" w:rsidR="004A1C8E" w:rsidRDefault="004A1C8E" w:rsidP="009E4535">
            <w:pPr>
              <w:rPr>
                <w:color w:val="000000"/>
              </w:rPr>
            </w:pPr>
          </w:p>
        </w:tc>
        <w:tc>
          <w:tcPr>
            <w:tcW w:w="1701" w:type="dxa"/>
          </w:tcPr>
          <w:p w14:paraId="09C0487B" w14:textId="608482F1" w:rsidR="004A1C8E" w:rsidRDefault="004A1C8E" w:rsidP="009E4535">
            <w:pPr>
              <w:rPr>
                <w:color w:val="000000"/>
              </w:rPr>
            </w:pPr>
          </w:p>
        </w:tc>
        <w:tc>
          <w:tcPr>
            <w:tcW w:w="3593" w:type="dxa"/>
          </w:tcPr>
          <w:p w14:paraId="30A94823" w14:textId="31A6A13E" w:rsidR="004A1C8E" w:rsidRDefault="004A1C8E" w:rsidP="009E4535">
            <w:pPr>
              <w:rPr>
                <w:color w:val="000000"/>
              </w:rPr>
            </w:pPr>
          </w:p>
        </w:tc>
      </w:tr>
      <w:tr w:rsidR="00144A55" w14:paraId="30B95228" w14:textId="77777777" w:rsidTr="00CB63E6">
        <w:trPr>
          <w:cantSplit/>
          <w:trHeight w:val="264"/>
        </w:trPr>
        <w:tc>
          <w:tcPr>
            <w:tcW w:w="1950" w:type="dxa"/>
          </w:tcPr>
          <w:p w14:paraId="06A9E105" w14:textId="77777777" w:rsidR="00144A55" w:rsidRDefault="00144A55" w:rsidP="009E4535">
            <w:pPr>
              <w:rPr>
                <w:color w:val="000000"/>
              </w:rPr>
            </w:pPr>
          </w:p>
        </w:tc>
        <w:tc>
          <w:tcPr>
            <w:tcW w:w="2268" w:type="dxa"/>
          </w:tcPr>
          <w:p w14:paraId="3E2A40ED" w14:textId="77777777" w:rsidR="00144A55" w:rsidRDefault="00144A55" w:rsidP="009E4535">
            <w:pPr>
              <w:rPr>
                <w:color w:val="000000"/>
              </w:rPr>
            </w:pPr>
          </w:p>
        </w:tc>
        <w:tc>
          <w:tcPr>
            <w:tcW w:w="1701" w:type="dxa"/>
          </w:tcPr>
          <w:p w14:paraId="7609A234" w14:textId="77777777" w:rsidR="00144A55" w:rsidRDefault="00144A55" w:rsidP="009E4535">
            <w:pPr>
              <w:rPr>
                <w:color w:val="000000"/>
              </w:rPr>
            </w:pPr>
          </w:p>
        </w:tc>
        <w:tc>
          <w:tcPr>
            <w:tcW w:w="3593" w:type="dxa"/>
          </w:tcPr>
          <w:p w14:paraId="6AA0AA7C" w14:textId="77777777" w:rsidR="00144A55" w:rsidRDefault="00144A55" w:rsidP="009E4535">
            <w:pPr>
              <w:rPr>
                <w:color w:val="000000"/>
              </w:rPr>
            </w:pPr>
          </w:p>
        </w:tc>
      </w:tr>
    </w:tbl>
    <w:p w14:paraId="50918CB7" w14:textId="77777777" w:rsidR="009D0F86" w:rsidRDefault="009D0F86" w:rsidP="009D0F86">
      <w:pPr>
        <w:rPr>
          <w:sz w:val="20"/>
          <w:szCs w:val="20"/>
        </w:rPr>
      </w:pPr>
      <w:r>
        <w:rPr>
          <w:sz w:val="20"/>
          <w:szCs w:val="20"/>
        </w:rPr>
        <w:t>*Add rows as required</w:t>
      </w:r>
    </w:p>
    <w:p w14:paraId="7AD02D8E" w14:textId="77777777" w:rsidR="004A1C8E" w:rsidRDefault="004A1C8E" w:rsidP="009D0F86">
      <w:pPr>
        <w:pStyle w:val="BodyText1"/>
      </w:pPr>
    </w:p>
    <w:p w14:paraId="1F70A210" w14:textId="77777777" w:rsidR="00DB13CD" w:rsidRDefault="00DB13CD" w:rsidP="009D0F86">
      <w:pPr>
        <w:pStyle w:val="BodyText1"/>
      </w:pPr>
    </w:p>
    <w:p w14:paraId="3F0614DB" w14:textId="77777777" w:rsidR="00D35FD0" w:rsidRDefault="00D35FD0" w:rsidP="009D0F86">
      <w:pPr>
        <w:pStyle w:val="BodyText1"/>
        <w:spacing w:before="4800"/>
      </w:pPr>
    </w:p>
    <w:p w14:paraId="6AD90F8A" w14:textId="3B97E9CD" w:rsidR="00D35FD0" w:rsidRDefault="00B3468E" w:rsidP="009D0F86">
      <w:pPr>
        <w:pStyle w:val="BodyText1"/>
      </w:pPr>
      <w:r>
        <w:rPr>
          <w:noProof/>
        </w:rPr>
        <w:t xml:space="preserve"> </w:t>
      </w:r>
    </w:p>
    <w:p w14:paraId="2435FFEB" w14:textId="77777777" w:rsidR="00D35FD0" w:rsidRDefault="00D35FD0">
      <w:pPr>
        <w:pBdr>
          <w:top w:val="nil"/>
          <w:left w:val="nil"/>
          <w:bottom w:val="nil"/>
          <w:right w:val="nil"/>
          <w:between w:val="nil"/>
        </w:pBdr>
        <w:rPr>
          <w:color w:val="000000"/>
        </w:rPr>
      </w:pPr>
    </w:p>
    <w:p w14:paraId="46A7ABAB" w14:textId="77777777" w:rsidR="00D35FD0" w:rsidRDefault="00D35FD0">
      <w:pPr>
        <w:pBdr>
          <w:top w:val="nil"/>
          <w:left w:val="nil"/>
          <w:bottom w:val="nil"/>
          <w:right w:val="nil"/>
          <w:between w:val="nil"/>
        </w:pBdr>
        <w:rPr>
          <w:color w:val="000000"/>
        </w:rPr>
        <w:sectPr w:rsidR="00D35FD0" w:rsidSect="001C5F1D">
          <w:headerReference w:type="default" r:id="rId12"/>
          <w:footerReference w:type="even" r:id="rId13"/>
          <w:footerReference w:type="default" r:id="rId14"/>
          <w:headerReference w:type="first" r:id="rId15"/>
          <w:footerReference w:type="first" r:id="rId16"/>
          <w:type w:val="continuous"/>
          <w:pgSz w:w="11906" w:h="16838"/>
          <w:pgMar w:top="1701" w:right="1134" w:bottom="1134" w:left="1134" w:header="567" w:footer="340" w:gutter="0"/>
          <w:cols w:space="720"/>
        </w:sectPr>
      </w:pPr>
    </w:p>
    <w:p w14:paraId="29719C09" w14:textId="77777777"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Content>
        <w:p w14:paraId="5B767ECD" w14:textId="4086A0C9" w:rsidR="00285078"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201061288" w:history="1">
            <w:r w:rsidR="00285078" w:rsidRPr="00551716">
              <w:rPr>
                <w:rStyle w:val="Hyperlink"/>
                <w:noProof/>
              </w:rPr>
              <w:t>1. Deadline for responding to this document</w:t>
            </w:r>
            <w:r w:rsidR="00285078">
              <w:rPr>
                <w:noProof/>
                <w:webHidden/>
              </w:rPr>
              <w:tab/>
            </w:r>
            <w:r w:rsidR="00285078">
              <w:rPr>
                <w:noProof/>
                <w:webHidden/>
              </w:rPr>
              <w:fldChar w:fldCharType="begin"/>
            </w:r>
            <w:r w:rsidR="00285078">
              <w:rPr>
                <w:noProof/>
                <w:webHidden/>
              </w:rPr>
              <w:instrText xml:space="preserve"> PAGEREF _Toc201061288 \h </w:instrText>
            </w:r>
            <w:r w:rsidR="00285078">
              <w:rPr>
                <w:noProof/>
                <w:webHidden/>
              </w:rPr>
            </w:r>
            <w:r w:rsidR="00285078">
              <w:rPr>
                <w:noProof/>
                <w:webHidden/>
              </w:rPr>
              <w:fldChar w:fldCharType="separate"/>
            </w:r>
            <w:r w:rsidR="00DC7130">
              <w:rPr>
                <w:noProof/>
                <w:webHidden/>
              </w:rPr>
              <w:t>4</w:t>
            </w:r>
            <w:r w:rsidR="00285078">
              <w:rPr>
                <w:noProof/>
                <w:webHidden/>
              </w:rPr>
              <w:fldChar w:fldCharType="end"/>
            </w:r>
          </w:hyperlink>
        </w:p>
        <w:p w14:paraId="6BEB674C" w14:textId="4AA0E83F" w:rsidR="00285078" w:rsidRDefault="00285078">
          <w:pPr>
            <w:pStyle w:val="TOC1"/>
            <w:rPr>
              <w:rFonts w:eastAsiaTheme="minorEastAsia" w:cstheme="minorBidi"/>
              <w:b w:val="0"/>
              <w:noProof/>
              <w:kern w:val="2"/>
              <w14:ligatures w14:val="standardContextual"/>
            </w:rPr>
          </w:pPr>
          <w:hyperlink w:anchor="_Toc201061289" w:history="1">
            <w:r w:rsidRPr="00551716">
              <w:rPr>
                <w:rStyle w:val="Hyperlink"/>
                <w:noProof/>
              </w:rPr>
              <w:t>2. Introduction</w:t>
            </w:r>
            <w:r>
              <w:rPr>
                <w:noProof/>
                <w:webHidden/>
              </w:rPr>
              <w:tab/>
            </w:r>
            <w:r>
              <w:rPr>
                <w:noProof/>
                <w:webHidden/>
              </w:rPr>
              <w:fldChar w:fldCharType="begin"/>
            </w:r>
            <w:r>
              <w:rPr>
                <w:noProof/>
                <w:webHidden/>
              </w:rPr>
              <w:instrText xml:space="preserve"> PAGEREF _Toc201061289 \h </w:instrText>
            </w:r>
            <w:r>
              <w:rPr>
                <w:noProof/>
                <w:webHidden/>
              </w:rPr>
            </w:r>
            <w:r>
              <w:rPr>
                <w:noProof/>
                <w:webHidden/>
              </w:rPr>
              <w:fldChar w:fldCharType="separate"/>
            </w:r>
            <w:r w:rsidR="00DC7130">
              <w:rPr>
                <w:noProof/>
                <w:webHidden/>
              </w:rPr>
              <w:t>5</w:t>
            </w:r>
            <w:r>
              <w:rPr>
                <w:noProof/>
                <w:webHidden/>
              </w:rPr>
              <w:fldChar w:fldCharType="end"/>
            </w:r>
          </w:hyperlink>
        </w:p>
        <w:p w14:paraId="40E6ACDF" w14:textId="3C79FFA4" w:rsidR="00285078" w:rsidRDefault="00285078">
          <w:pPr>
            <w:pStyle w:val="TOC1"/>
            <w:rPr>
              <w:rFonts w:eastAsiaTheme="minorEastAsia" w:cstheme="minorBidi"/>
              <w:b w:val="0"/>
              <w:noProof/>
              <w:kern w:val="2"/>
              <w14:ligatures w14:val="standardContextual"/>
            </w:rPr>
          </w:pPr>
          <w:hyperlink w:anchor="_Toc201061290" w:history="1">
            <w:r w:rsidRPr="00551716">
              <w:rPr>
                <w:rStyle w:val="Hyperlink"/>
                <w:noProof/>
              </w:rPr>
              <w:t>3. Introduction to the Authority</w:t>
            </w:r>
            <w:r>
              <w:rPr>
                <w:noProof/>
                <w:webHidden/>
              </w:rPr>
              <w:tab/>
            </w:r>
            <w:r>
              <w:rPr>
                <w:noProof/>
                <w:webHidden/>
              </w:rPr>
              <w:fldChar w:fldCharType="begin"/>
            </w:r>
            <w:r>
              <w:rPr>
                <w:noProof/>
                <w:webHidden/>
              </w:rPr>
              <w:instrText xml:space="preserve"> PAGEREF _Toc201061290 \h </w:instrText>
            </w:r>
            <w:r>
              <w:rPr>
                <w:noProof/>
                <w:webHidden/>
              </w:rPr>
            </w:r>
            <w:r>
              <w:rPr>
                <w:noProof/>
                <w:webHidden/>
              </w:rPr>
              <w:fldChar w:fldCharType="separate"/>
            </w:r>
            <w:r w:rsidR="00DC7130">
              <w:rPr>
                <w:noProof/>
                <w:webHidden/>
              </w:rPr>
              <w:t>7</w:t>
            </w:r>
            <w:r>
              <w:rPr>
                <w:noProof/>
                <w:webHidden/>
              </w:rPr>
              <w:fldChar w:fldCharType="end"/>
            </w:r>
          </w:hyperlink>
        </w:p>
        <w:p w14:paraId="6C82ADF7" w14:textId="51DEC257" w:rsidR="00285078" w:rsidRDefault="00285078">
          <w:pPr>
            <w:pStyle w:val="TOC1"/>
            <w:rPr>
              <w:rFonts w:eastAsiaTheme="minorEastAsia" w:cstheme="minorBidi"/>
              <w:b w:val="0"/>
              <w:noProof/>
              <w:kern w:val="2"/>
              <w14:ligatures w14:val="standardContextual"/>
            </w:rPr>
          </w:pPr>
          <w:hyperlink w:anchor="_Toc201061291" w:history="1">
            <w:r w:rsidRPr="00551716">
              <w:rPr>
                <w:rStyle w:val="Hyperlink"/>
                <w:noProof/>
              </w:rPr>
              <w:t>4. Overview of the Authority’s requirement</w:t>
            </w:r>
            <w:r>
              <w:rPr>
                <w:noProof/>
                <w:webHidden/>
              </w:rPr>
              <w:tab/>
            </w:r>
            <w:r>
              <w:rPr>
                <w:noProof/>
                <w:webHidden/>
              </w:rPr>
              <w:fldChar w:fldCharType="begin"/>
            </w:r>
            <w:r>
              <w:rPr>
                <w:noProof/>
                <w:webHidden/>
              </w:rPr>
              <w:instrText xml:space="preserve"> PAGEREF _Toc201061291 \h </w:instrText>
            </w:r>
            <w:r>
              <w:rPr>
                <w:noProof/>
                <w:webHidden/>
              </w:rPr>
            </w:r>
            <w:r>
              <w:rPr>
                <w:noProof/>
                <w:webHidden/>
              </w:rPr>
              <w:fldChar w:fldCharType="separate"/>
            </w:r>
            <w:r w:rsidR="00DC7130">
              <w:rPr>
                <w:noProof/>
                <w:webHidden/>
              </w:rPr>
              <w:t>8</w:t>
            </w:r>
            <w:r>
              <w:rPr>
                <w:noProof/>
                <w:webHidden/>
              </w:rPr>
              <w:fldChar w:fldCharType="end"/>
            </w:r>
          </w:hyperlink>
        </w:p>
        <w:p w14:paraId="6C58DD74" w14:textId="44ED8062" w:rsidR="00285078" w:rsidRDefault="00285078">
          <w:pPr>
            <w:pStyle w:val="TOC1"/>
            <w:rPr>
              <w:rFonts w:eastAsiaTheme="minorEastAsia" w:cstheme="minorBidi"/>
              <w:b w:val="0"/>
              <w:noProof/>
              <w:kern w:val="2"/>
              <w14:ligatures w14:val="standardContextual"/>
            </w:rPr>
          </w:pPr>
          <w:hyperlink w:anchor="_Toc201061292" w:history="1">
            <w:r w:rsidRPr="00551716">
              <w:rPr>
                <w:rStyle w:val="Hyperlink"/>
                <w:noProof/>
              </w:rPr>
              <w:t>5. Preliminary market engagement</w:t>
            </w:r>
            <w:r>
              <w:rPr>
                <w:noProof/>
                <w:webHidden/>
              </w:rPr>
              <w:tab/>
            </w:r>
            <w:r>
              <w:rPr>
                <w:noProof/>
                <w:webHidden/>
              </w:rPr>
              <w:fldChar w:fldCharType="begin"/>
            </w:r>
            <w:r>
              <w:rPr>
                <w:noProof/>
                <w:webHidden/>
              </w:rPr>
              <w:instrText xml:space="preserve"> PAGEREF _Toc201061292 \h </w:instrText>
            </w:r>
            <w:r>
              <w:rPr>
                <w:noProof/>
                <w:webHidden/>
              </w:rPr>
            </w:r>
            <w:r>
              <w:rPr>
                <w:noProof/>
                <w:webHidden/>
              </w:rPr>
              <w:fldChar w:fldCharType="separate"/>
            </w:r>
            <w:r w:rsidR="00DC7130">
              <w:rPr>
                <w:noProof/>
                <w:webHidden/>
              </w:rPr>
              <w:t>10</w:t>
            </w:r>
            <w:r>
              <w:rPr>
                <w:noProof/>
                <w:webHidden/>
              </w:rPr>
              <w:fldChar w:fldCharType="end"/>
            </w:r>
          </w:hyperlink>
        </w:p>
        <w:p w14:paraId="2834ADBE" w14:textId="7DB0A546" w:rsidR="00285078" w:rsidRDefault="00285078">
          <w:pPr>
            <w:pStyle w:val="TOC1"/>
            <w:rPr>
              <w:rFonts w:eastAsiaTheme="minorEastAsia" w:cstheme="minorBidi"/>
              <w:b w:val="0"/>
              <w:noProof/>
              <w:kern w:val="2"/>
              <w14:ligatures w14:val="standardContextual"/>
            </w:rPr>
          </w:pPr>
          <w:hyperlink w:anchor="_Toc201061293" w:history="1">
            <w:r w:rsidRPr="00551716">
              <w:rPr>
                <w:rStyle w:val="Hyperlink"/>
                <w:noProof/>
              </w:rPr>
              <w:t>6. The Procurement process</w:t>
            </w:r>
            <w:r>
              <w:rPr>
                <w:noProof/>
                <w:webHidden/>
              </w:rPr>
              <w:tab/>
            </w:r>
            <w:r>
              <w:rPr>
                <w:noProof/>
                <w:webHidden/>
              </w:rPr>
              <w:fldChar w:fldCharType="begin"/>
            </w:r>
            <w:r>
              <w:rPr>
                <w:noProof/>
                <w:webHidden/>
              </w:rPr>
              <w:instrText xml:space="preserve"> PAGEREF _Toc201061293 \h </w:instrText>
            </w:r>
            <w:r>
              <w:rPr>
                <w:noProof/>
                <w:webHidden/>
              </w:rPr>
            </w:r>
            <w:r>
              <w:rPr>
                <w:noProof/>
                <w:webHidden/>
              </w:rPr>
              <w:fldChar w:fldCharType="separate"/>
            </w:r>
            <w:r w:rsidR="00DC7130">
              <w:rPr>
                <w:noProof/>
                <w:webHidden/>
              </w:rPr>
              <w:t>11</w:t>
            </w:r>
            <w:r>
              <w:rPr>
                <w:noProof/>
                <w:webHidden/>
              </w:rPr>
              <w:fldChar w:fldCharType="end"/>
            </w:r>
          </w:hyperlink>
        </w:p>
        <w:p w14:paraId="07FA1C95" w14:textId="24E34169" w:rsidR="00285078" w:rsidRDefault="00285078">
          <w:pPr>
            <w:pStyle w:val="TOC1"/>
            <w:rPr>
              <w:rFonts w:eastAsiaTheme="minorEastAsia" w:cstheme="minorBidi"/>
              <w:b w:val="0"/>
              <w:noProof/>
              <w:kern w:val="2"/>
              <w14:ligatures w14:val="standardContextual"/>
            </w:rPr>
          </w:pPr>
          <w:hyperlink w:anchor="_Toc201061294" w:history="1">
            <w:r w:rsidRPr="00551716">
              <w:rPr>
                <w:rStyle w:val="Hyperlink"/>
                <w:noProof/>
              </w:rPr>
              <w:t>7. Procurement timetable</w:t>
            </w:r>
            <w:r>
              <w:rPr>
                <w:noProof/>
                <w:webHidden/>
              </w:rPr>
              <w:tab/>
            </w:r>
            <w:r>
              <w:rPr>
                <w:noProof/>
                <w:webHidden/>
              </w:rPr>
              <w:fldChar w:fldCharType="begin"/>
            </w:r>
            <w:r>
              <w:rPr>
                <w:noProof/>
                <w:webHidden/>
              </w:rPr>
              <w:instrText xml:space="preserve"> PAGEREF _Toc201061294 \h </w:instrText>
            </w:r>
            <w:r>
              <w:rPr>
                <w:noProof/>
                <w:webHidden/>
              </w:rPr>
            </w:r>
            <w:r>
              <w:rPr>
                <w:noProof/>
                <w:webHidden/>
              </w:rPr>
              <w:fldChar w:fldCharType="separate"/>
            </w:r>
            <w:r w:rsidR="00DC7130">
              <w:rPr>
                <w:noProof/>
                <w:webHidden/>
              </w:rPr>
              <w:t>13</w:t>
            </w:r>
            <w:r>
              <w:rPr>
                <w:noProof/>
                <w:webHidden/>
              </w:rPr>
              <w:fldChar w:fldCharType="end"/>
            </w:r>
          </w:hyperlink>
        </w:p>
        <w:p w14:paraId="21272957" w14:textId="6A9A3335" w:rsidR="00285078" w:rsidRDefault="00285078">
          <w:pPr>
            <w:pStyle w:val="TOC1"/>
            <w:rPr>
              <w:rFonts w:eastAsiaTheme="minorEastAsia" w:cstheme="minorBidi"/>
              <w:b w:val="0"/>
              <w:noProof/>
              <w:kern w:val="2"/>
              <w14:ligatures w14:val="standardContextual"/>
            </w:rPr>
          </w:pPr>
          <w:hyperlink w:anchor="_Toc201061295" w:history="1">
            <w:r w:rsidRPr="00551716">
              <w:rPr>
                <w:rStyle w:val="Hyperlink"/>
                <w:noProof/>
              </w:rPr>
              <w:t>9. Key dependencies</w:t>
            </w:r>
            <w:r>
              <w:rPr>
                <w:noProof/>
                <w:webHidden/>
              </w:rPr>
              <w:tab/>
            </w:r>
            <w:r>
              <w:rPr>
                <w:noProof/>
                <w:webHidden/>
              </w:rPr>
              <w:fldChar w:fldCharType="begin"/>
            </w:r>
            <w:r>
              <w:rPr>
                <w:noProof/>
                <w:webHidden/>
              </w:rPr>
              <w:instrText xml:space="preserve"> PAGEREF _Toc201061295 \h </w:instrText>
            </w:r>
            <w:r>
              <w:rPr>
                <w:noProof/>
                <w:webHidden/>
              </w:rPr>
            </w:r>
            <w:r>
              <w:rPr>
                <w:noProof/>
                <w:webHidden/>
              </w:rPr>
              <w:fldChar w:fldCharType="separate"/>
            </w:r>
            <w:r w:rsidR="00DC7130">
              <w:rPr>
                <w:noProof/>
                <w:webHidden/>
              </w:rPr>
              <w:t>16</w:t>
            </w:r>
            <w:r>
              <w:rPr>
                <w:noProof/>
                <w:webHidden/>
              </w:rPr>
              <w:fldChar w:fldCharType="end"/>
            </w:r>
          </w:hyperlink>
        </w:p>
        <w:p w14:paraId="7669C4B2" w14:textId="20762903" w:rsidR="00285078" w:rsidRDefault="00285078">
          <w:pPr>
            <w:pStyle w:val="TOC1"/>
            <w:rPr>
              <w:rFonts w:eastAsiaTheme="minorEastAsia" w:cstheme="minorBidi"/>
              <w:b w:val="0"/>
              <w:noProof/>
              <w:kern w:val="2"/>
              <w14:ligatures w14:val="standardContextual"/>
            </w:rPr>
          </w:pPr>
          <w:hyperlink w:anchor="_Toc201061296" w:history="1">
            <w:r w:rsidRPr="00551716">
              <w:rPr>
                <w:rStyle w:val="Hyperlink"/>
                <w:noProof/>
              </w:rPr>
              <w:t>10. Contract terms</w:t>
            </w:r>
            <w:r>
              <w:rPr>
                <w:noProof/>
                <w:webHidden/>
              </w:rPr>
              <w:tab/>
            </w:r>
            <w:r>
              <w:rPr>
                <w:noProof/>
                <w:webHidden/>
              </w:rPr>
              <w:fldChar w:fldCharType="begin"/>
            </w:r>
            <w:r>
              <w:rPr>
                <w:noProof/>
                <w:webHidden/>
              </w:rPr>
              <w:instrText xml:space="preserve"> PAGEREF _Toc201061296 \h </w:instrText>
            </w:r>
            <w:r>
              <w:rPr>
                <w:noProof/>
                <w:webHidden/>
              </w:rPr>
            </w:r>
            <w:r>
              <w:rPr>
                <w:noProof/>
                <w:webHidden/>
              </w:rPr>
              <w:fldChar w:fldCharType="separate"/>
            </w:r>
            <w:r w:rsidR="00DC7130">
              <w:rPr>
                <w:noProof/>
                <w:webHidden/>
              </w:rPr>
              <w:t>18</w:t>
            </w:r>
            <w:r>
              <w:rPr>
                <w:noProof/>
                <w:webHidden/>
              </w:rPr>
              <w:fldChar w:fldCharType="end"/>
            </w:r>
          </w:hyperlink>
        </w:p>
        <w:p w14:paraId="52ABD58D" w14:textId="35AC27EA" w:rsidR="00285078" w:rsidRDefault="00285078">
          <w:pPr>
            <w:pStyle w:val="TOC1"/>
            <w:rPr>
              <w:rFonts w:eastAsiaTheme="minorEastAsia" w:cstheme="minorBidi"/>
              <w:b w:val="0"/>
              <w:noProof/>
              <w:kern w:val="2"/>
              <w14:ligatures w14:val="standardContextual"/>
            </w:rPr>
          </w:pPr>
          <w:hyperlink w:anchor="_Toc201061297" w:history="1">
            <w:r w:rsidRPr="00551716">
              <w:rPr>
                <w:rStyle w:val="Hyperlink"/>
                <w:noProof/>
              </w:rPr>
              <w:t>11. How to respond to this opportunity</w:t>
            </w:r>
            <w:r>
              <w:rPr>
                <w:noProof/>
                <w:webHidden/>
              </w:rPr>
              <w:tab/>
            </w:r>
            <w:r>
              <w:rPr>
                <w:noProof/>
                <w:webHidden/>
              </w:rPr>
              <w:fldChar w:fldCharType="begin"/>
            </w:r>
            <w:r>
              <w:rPr>
                <w:noProof/>
                <w:webHidden/>
              </w:rPr>
              <w:instrText xml:space="preserve"> PAGEREF _Toc201061297 \h </w:instrText>
            </w:r>
            <w:r>
              <w:rPr>
                <w:noProof/>
                <w:webHidden/>
              </w:rPr>
            </w:r>
            <w:r>
              <w:rPr>
                <w:noProof/>
                <w:webHidden/>
              </w:rPr>
              <w:fldChar w:fldCharType="separate"/>
            </w:r>
            <w:r w:rsidR="00DC7130">
              <w:rPr>
                <w:noProof/>
                <w:webHidden/>
              </w:rPr>
              <w:t>19</w:t>
            </w:r>
            <w:r>
              <w:rPr>
                <w:noProof/>
                <w:webHidden/>
              </w:rPr>
              <w:fldChar w:fldCharType="end"/>
            </w:r>
          </w:hyperlink>
        </w:p>
        <w:p w14:paraId="252C69DA" w14:textId="6BB794FD" w:rsidR="00285078" w:rsidRDefault="00285078">
          <w:pPr>
            <w:pStyle w:val="TOC1"/>
            <w:rPr>
              <w:rFonts w:eastAsiaTheme="minorEastAsia" w:cstheme="minorBidi"/>
              <w:b w:val="0"/>
              <w:noProof/>
              <w:kern w:val="2"/>
              <w14:ligatures w14:val="standardContextual"/>
            </w:rPr>
          </w:pPr>
          <w:hyperlink w:anchor="_Toc201061298" w:history="1">
            <w:r w:rsidRPr="00551716">
              <w:rPr>
                <w:rStyle w:val="Hyperlink"/>
                <w:noProof/>
              </w:rPr>
              <w:t>12. Requests for clarification</w:t>
            </w:r>
            <w:r>
              <w:rPr>
                <w:noProof/>
                <w:webHidden/>
              </w:rPr>
              <w:tab/>
            </w:r>
            <w:r>
              <w:rPr>
                <w:noProof/>
                <w:webHidden/>
              </w:rPr>
              <w:fldChar w:fldCharType="begin"/>
            </w:r>
            <w:r>
              <w:rPr>
                <w:noProof/>
                <w:webHidden/>
              </w:rPr>
              <w:instrText xml:space="preserve"> PAGEREF _Toc201061298 \h </w:instrText>
            </w:r>
            <w:r>
              <w:rPr>
                <w:noProof/>
                <w:webHidden/>
              </w:rPr>
            </w:r>
            <w:r>
              <w:rPr>
                <w:noProof/>
                <w:webHidden/>
              </w:rPr>
              <w:fldChar w:fldCharType="separate"/>
            </w:r>
            <w:r w:rsidR="00DC7130">
              <w:rPr>
                <w:noProof/>
                <w:webHidden/>
              </w:rPr>
              <w:t>20</w:t>
            </w:r>
            <w:r>
              <w:rPr>
                <w:noProof/>
                <w:webHidden/>
              </w:rPr>
              <w:fldChar w:fldCharType="end"/>
            </w:r>
          </w:hyperlink>
        </w:p>
        <w:p w14:paraId="33E58BB0" w14:textId="0FB6C2B0" w:rsidR="00285078" w:rsidRDefault="00285078">
          <w:pPr>
            <w:pStyle w:val="TOC1"/>
            <w:rPr>
              <w:rFonts w:eastAsiaTheme="minorEastAsia" w:cstheme="minorBidi"/>
              <w:b w:val="0"/>
              <w:noProof/>
              <w:kern w:val="2"/>
              <w14:ligatures w14:val="standardContextual"/>
            </w:rPr>
          </w:pPr>
          <w:hyperlink w:anchor="_Toc201061299" w:history="1">
            <w:r w:rsidRPr="00551716">
              <w:rPr>
                <w:rStyle w:val="Hyperlink"/>
                <w:noProof/>
              </w:rPr>
              <w:t>13. The assessment process and award criteria</w:t>
            </w:r>
            <w:r>
              <w:rPr>
                <w:noProof/>
                <w:webHidden/>
              </w:rPr>
              <w:tab/>
            </w:r>
            <w:r>
              <w:rPr>
                <w:noProof/>
                <w:webHidden/>
              </w:rPr>
              <w:fldChar w:fldCharType="begin"/>
            </w:r>
            <w:r>
              <w:rPr>
                <w:noProof/>
                <w:webHidden/>
              </w:rPr>
              <w:instrText xml:space="preserve"> PAGEREF _Toc201061299 \h </w:instrText>
            </w:r>
            <w:r>
              <w:rPr>
                <w:noProof/>
                <w:webHidden/>
              </w:rPr>
            </w:r>
            <w:r>
              <w:rPr>
                <w:noProof/>
                <w:webHidden/>
              </w:rPr>
              <w:fldChar w:fldCharType="separate"/>
            </w:r>
            <w:r w:rsidR="00DC7130">
              <w:rPr>
                <w:noProof/>
                <w:webHidden/>
              </w:rPr>
              <w:t>22</w:t>
            </w:r>
            <w:r>
              <w:rPr>
                <w:noProof/>
                <w:webHidden/>
              </w:rPr>
              <w:fldChar w:fldCharType="end"/>
            </w:r>
          </w:hyperlink>
        </w:p>
        <w:p w14:paraId="082CC152" w14:textId="45633DFE" w:rsidR="00285078" w:rsidRDefault="00285078">
          <w:pPr>
            <w:pStyle w:val="TOC1"/>
            <w:rPr>
              <w:rFonts w:eastAsiaTheme="minorEastAsia" w:cstheme="minorBidi"/>
              <w:b w:val="0"/>
              <w:noProof/>
              <w:kern w:val="2"/>
              <w14:ligatures w14:val="standardContextual"/>
            </w:rPr>
          </w:pPr>
          <w:hyperlink w:anchor="_Toc201061300" w:history="1">
            <w:r w:rsidRPr="00551716">
              <w:rPr>
                <w:rStyle w:val="Hyperlink"/>
                <w:noProof/>
              </w:rPr>
              <w:t>Appendix A: Procurement terms and conditions</w:t>
            </w:r>
            <w:r>
              <w:rPr>
                <w:noProof/>
                <w:webHidden/>
              </w:rPr>
              <w:tab/>
            </w:r>
            <w:r>
              <w:rPr>
                <w:noProof/>
                <w:webHidden/>
              </w:rPr>
              <w:fldChar w:fldCharType="begin"/>
            </w:r>
            <w:r>
              <w:rPr>
                <w:noProof/>
                <w:webHidden/>
              </w:rPr>
              <w:instrText xml:space="preserve"> PAGEREF _Toc201061300 \h </w:instrText>
            </w:r>
            <w:r>
              <w:rPr>
                <w:noProof/>
                <w:webHidden/>
              </w:rPr>
            </w:r>
            <w:r>
              <w:rPr>
                <w:noProof/>
                <w:webHidden/>
              </w:rPr>
              <w:fldChar w:fldCharType="separate"/>
            </w:r>
            <w:r w:rsidR="00DC7130">
              <w:rPr>
                <w:noProof/>
                <w:webHidden/>
              </w:rPr>
              <w:t>25</w:t>
            </w:r>
            <w:r>
              <w:rPr>
                <w:noProof/>
                <w:webHidden/>
              </w:rPr>
              <w:fldChar w:fldCharType="end"/>
            </w:r>
          </w:hyperlink>
        </w:p>
        <w:p w14:paraId="38012D39" w14:textId="4CFB144F" w:rsidR="00285078" w:rsidRDefault="00285078">
          <w:pPr>
            <w:pStyle w:val="TOC2"/>
            <w:rPr>
              <w:rFonts w:eastAsiaTheme="minorEastAsia" w:cstheme="minorBidi"/>
              <w:kern w:val="2"/>
              <w14:ligatures w14:val="standardContextual"/>
            </w:rPr>
          </w:pPr>
          <w:hyperlink w:anchor="_Toc201061301" w:history="1">
            <w:r w:rsidRPr="00551716">
              <w:rPr>
                <w:rStyle w:val="Hyperlink"/>
              </w:rPr>
              <w:t>Procedural requirements</w:t>
            </w:r>
            <w:r>
              <w:rPr>
                <w:webHidden/>
              </w:rPr>
              <w:tab/>
            </w:r>
            <w:r>
              <w:rPr>
                <w:webHidden/>
              </w:rPr>
              <w:fldChar w:fldCharType="begin"/>
            </w:r>
            <w:r>
              <w:rPr>
                <w:webHidden/>
              </w:rPr>
              <w:instrText xml:space="preserve"> PAGEREF _Toc201061301 \h </w:instrText>
            </w:r>
            <w:r>
              <w:rPr>
                <w:webHidden/>
              </w:rPr>
            </w:r>
            <w:r>
              <w:rPr>
                <w:webHidden/>
              </w:rPr>
              <w:fldChar w:fldCharType="separate"/>
            </w:r>
            <w:r w:rsidR="00DC7130">
              <w:rPr>
                <w:webHidden/>
              </w:rPr>
              <w:t>25</w:t>
            </w:r>
            <w:r>
              <w:rPr>
                <w:webHidden/>
              </w:rPr>
              <w:fldChar w:fldCharType="end"/>
            </w:r>
          </w:hyperlink>
        </w:p>
        <w:p w14:paraId="2030B3A8" w14:textId="5B61BE4C" w:rsidR="00285078" w:rsidRDefault="00285078">
          <w:pPr>
            <w:pStyle w:val="TOC2"/>
            <w:rPr>
              <w:rFonts w:eastAsiaTheme="minorEastAsia" w:cstheme="minorBidi"/>
              <w:kern w:val="2"/>
              <w14:ligatures w14:val="standardContextual"/>
            </w:rPr>
          </w:pPr>
          <w:hyperlink w:anchor="_Toc201061302" w:history="1">
            <w:r w:rsidRPr="00551716">
              <w:rPr>
                <w:rStyle w:val="Hyperlink"/>
              </w:rPr>
              <w:t>Central Digital Platform</w:t>
            </w:r>
            <w:r>
              <w:rPr>
                <w:webHidden/>
              </w:rPr>
              <w:tab/>
            </w:r>
            <w:r>
              <w:rPr>
                <w:webHidden/>
              </w:rPr>
              <w:fldChar w:fldCharType="begin"/>
            </w:r>
            <w:r>
              <w:rPr>
                <w:webHidden/>
              </w:rPr>
              <w:instrText xml:space="preserve"> PAGEREF _Toc201061302 \h </w:instrText>
            </w:r>
            <w:r>
              <w:rPr>
                <w:webHidden/>
              </w:rPr>
            </w:r>
            <w:r>
              <w:rPr>
                <w:webHidden/>
              </w:rPr>
              <w:fldChar w:fldCharType="separate"/>
            </w:r>
            <w:r w:rsidR="00DC7130">
              <w:rPr>
                <w:webHidden/>
              </w:rPr>
              <w:t>25</w:t>
            </w:r>
            <w:r>
              <w:rPr>
                <w:webHidden/>
              </w:rPr>
              <w:fldChar w:fldCharType="end"/>
            </w:r>
          </w:hyperlink>
        </w:p>
        <w:p w14:paraId="0769069B" w14:textId="3BCCAD19" w:rsidR="00285078" w:rsidRDefault="00285078">
          <w:pPr>
            <w:pStyle w:val="TOC2"/>
            <w:rPr>
              <w:rFonts w:eastAsiaTheme="minorEastAsia" w:cstheme="minorBidi"/>
              <w:kern w:val="2"/>
              <w14:ligatures w14:val="standardContextual"/>
            </w:rPr>
          </w:pPr>
          <w:hyperlink w:anchor="_Toc201061303" w:history="1">
            <w:r w:rsidRPr="00551716">
              <w:rPr>
                <w:rStyle w:val="Hyperlink"/>
              </w:rPr>
              <w:t>Modifying the Procurement</w:t>
            </w:r>
            <w:r>
              <w:rPr>
                <w:webHidden/>
              </w:rPr>
              <w:tab/>
            </w:r>
            <w:r>
              <w:rPr>
                <w:webHidden/>
              </w:rPr>
              <w:fldChar w:fldCharType="begin"/>
            </w:r>
            <w:r>
              <w:rPr>
                <w:webHidden/>
              </w:rPr>
              <w:instrText xml:space="preserve"> PAGEREF _Toc201061303 \h </w:instrText>
            </w:r>
            <w:r>
              <w:rPr>
                <w:webHidden/>
              </w:rPr>
            </w:r>
            <w:r>
              <w:rPr>
                <w:webHidden/>
              </w:rPr>
              <w:fldChar w:fldCharType="separate"/>
            </w:r>
            <w:r w:rsidR="00DC7130">
              <w:rPr>
                <w:webHidden/>
              </w:rPr>
              <w:t>25</w:t>
            </w:r>
            <w:r>
              <w:rPr>
                <w:webHidden/>
              </w:rPr>
              <w:fldChar w:fldCharType="end"/>
            </w:r>
          </w:hyperlink>
        </w:p>
        <w:p w14:paraId="632F223A" w14:textId="09457BA2" w:rsidR="00285078" w:rsidRDefault="00285078">
          <w:pPr>
            <w:pStyle w:val="TOC2"/>
            <w:rPr>
              <w:rFonts w:eastAsiaTheme="minorEastAsia" w:cstheme="minorBidi"/>
              <w:kern w:val="2"/>
              <w14:ligatures w14:val="standardContextual"/>
            </w:rPr>
          </w:pPr>
          <w:hyperlink w:anchor="_Toc201061304" w:history="1">
            <w:r w:rsidRPr="00551716">
              <w:rPr>
                <w:rStyle w:val="Hyperlink"/>
              </w:rPr>
              <w:t>Option to direct award</w:t>
            </w:r>
            <w:r>
              <w:rPr>
                <w:webHidden/>
              </w:rPr>
              <w:tab/>
            </w:r>
            <w:r>
              <w:rPr>
                <w:webHidden/>
              </w:rPr>
              <w:fldChar w:fldCharType="begin"/>
            </w:r>
            <w:r>
              <w:rPr>
                <w:webHidden/>
              </w:rPr>
              <w:instrText xml:space="preserve"> PAGEREF _Toc201061304 \h </w:instrText>
            </w:r>
            <w:r>
              <w:rPr>
                <w:webHidden/>
              </w:rPr>
            </w:r>
            <w:r>
              <w:rPr>
                <w:webHidden/>
              </w:rPr>
              <w:fldChar w:fldCharType="separate"/>
            </w:r>
            <w:r w:rsidR="00DC7130">
              <w:rPr>
                <w:webHidden/>
              </w:rPr>
              <w:t>26</w:t>
            </w:r>
            <w:r>
              <w:rPr>
                <w:webHidden/>
              </w:rPr>
              <w:fldChar w:fldCharType="end"/>
            </w:r>
          </w:hyperlink>
        </w:p>
        <w:p w14:paraId="2240F492" w14:textId="4EFAB66D" w:rsidR="00285078" w:rsidRDefault="00285078">
          <w:pPr>
            <w:pStyle w:val="TOC2"/>
            <w:rPr>
              <w:rFonts w:eastAsiaTheme="minorEastAsia" w:cstheme="minorBidi"/>
              <w:kern w:val="2"/>
              <w14:ligatures w14:val="standardContextual"/>
            </w:rPr>
          </w:pPr>
          <w:hyperlink w:anchor="_Toc201061305" w:history="1">
            <w:r w:rsidRPr="00551716">
              <w:rPr>
                <w:rStyle w:val="Hyperlink"/>
              </w:rPr>
              <w:t>Confidentiality and publicity</w:t>
            </w:r>
            <w:r>
              <w:rPr>
                <w:webHidden/>
              </w:rPr>
              <w:tab/>
            </w:r>
            <w:r>
              <w:rPr>
                <w:webHidden/>
              </w:rPr>
              <w:fldChar w:fldCharType="begin"/>
            </w:r>
            <w:r>
              <w:rPr>
                <w:webHidden/>
              </w:rPr>
              <w:instrText xml:space="preserve"> PAGEREF _Toc201061305 \h </w:instrText>
            </w:r>
            <w:r>
              <w:rPr>
                <w:webHidden/>
              </w:rPr>
            </w:r>
            <w:r>
              <w:rPr>
                <w:webHidden/>
              </w:rPr>
              <w:fldChar w:fldCharType="separate"/>
            </w:r>
            <w:r w:rsidR="00DC7130">
              <w:rPr>
                <w:webHidden/>
              </w:rPr>
              <w:t>26</w:t>
            </w:r>
            <w:r>
              <w:rPr>
                <w:webHidden/>
              </w:rPr>
              <w:fldChar w:fldCharType="end"/>
            </w:r>
          </w:hyperlink>
        </w:p>
        <w:p w14:paraId="30F3554A" w14:textId="2F614DEE" w:rsidR="00285078" w:rsidRDefault="00285078">
          <w:pPr>
            <w:pStyle w:val="TOC2"/>
            <w:rPr>
              <w:rFonts w:eastAsiaTheme="minorEastAsia" w:cstheme="minorBidi"/>
              <w:kern w:val="2"/>
              <w14:ligatures w14:val="standardContextual"/>
            </w:rPr>
          </w:pPr>
          <w:hyperlink w:anchor="_Toc201061306" w:history="1">
            <w:r w:rsidRPr="00551716">
              <w:rPr>
                <w:rStyle w:val="Hyperlink"/>
              </w:rPr>
              <w:t>Requirements on sub-contractors and consortium</w:t>
            </w:r>
            <w:r>
              <w:rPr>
                <w:webHidden/>
              </w:rPr>
              <w:tab/>
            </w:r>
            <w:r>
              <w:rPr>
                <w:webHidden/>
              </w:rPr>
              <w:fldChar w:fldCharType="begin"/>
            </w:r>
            <w:r>
              <w:rPr>
                <w:webHidden/>
              </w:rPr>
              <w:instrText xml:space="preserve"> PAGEREF _Toc201061306 \h </w:instrText>
            </w:r>
            <w:r>
              <w:rPr>
                <w:webHidden/>
              </w:rPr>
            </w:r>
            <w:r>
              <w:rPr>
                <w:webHidden/>
              </w:rPr>
              <w:fldChar w:fldCharType="separate"/>
            </w:r>
            <w:r w:rsidR="00DC7130">
              <w:rPr>
                <w:webHidden/>
              </w:rPr>
              <w:t>27</w:t>
            </w:r>
            <w:r>
              <w:rPr>
                <w:webHidden/>
              </w:rPr>
              <w:fldChar w:fldCharType="end"/>
            </w:r>
          </w:hyperlink>
        </w:p>
        <w:p w14:paraId="021BBFF8" w14:textId="288C7E4F" w:rsidR="00285078" w:rsidRDefault="00285078">
          <w:pPr>
            <w:pStyle w:val="TOC2"/>
            <w:rPr>
              <w:rFonts w:eastAsiaTheme="minorEastAsia" w:cstheme="minorBidi"/>
              <w:kern w:val="2"/>
              <w14:ligatures w14:val="standardContextual"/>
            </w:rPr>
          </w:pPr>
          <w:hyperlink w:anchor="_Toc201061307" w:history="1">
            <w:r w:rsidRPr="00551716">
              <w:rPr>
                <w:rStyle w:val="Hyperlink"/>
              </w:rPr>
              <w:t>Parent company guarantee or other securities</w:t>
            </w:r>
            <w:r>
              <w:rPr>
                <w:webHidden/>
              </w:rPr>
              <w:tab/>
            </w:r>
            <w:r>
              <w:rPr>
                <w:webHidden/>
              </w:rPr>
              <w:fldChar w:fldCharType="begin"/>
            </w:r>
            <w:r>
              <w:rPr>
                <w:webHidden/>
              </w:rPr>
              <w:instrText xml:space="preserve"> PAGEREF _Toc201061307 \h </w:instrText>
            </w:r>
            <w:r>
              <w:rPr>
                <w:webHidden/>
              </w:rPr>
            </w:r>
            <w:r>
              <w:rPr>
                <w:webHidden/>
              </w:rPr>
              <w:fldChar w:fldCharType="separate"/>
            </w:r>
            <w:r w:rsidR="00DC7130">
              <w:rPr>
                <w:webHidden/>
              </w:rPr>
              <w:t>27</w:t>
            </w:r>
            <w:r>
              <w:rPr>
                <w:webHidden/>
              </w:rPr>
              <w:fldChar w:fldCharType="end"/>
            </w:r>
          </w:hyperlink>
        </w:p>
        <w:p w14:paraId="7DA03687" w14:textId="2BEADC33" w:rsidR="00285078" w:rsidRDefault="00285078">
          <w:pPr>
            <w:pStyle w:val="TOC2"/>
            <w:rPr>
              <w:rFonts w:eastAsiaTheme="minorEastAsia" w:cstheme="minorBidi"/>
              <w:kern w:val="2"/>
              <w14:ligatures w14:val="standardContextual"/>
            </w:rPr>
          </w:pPr>
          <w:hyperlink w:anchor="_Toc201061308" w:history="1">
            <w:r w:rsidRPr="00551716">
              <w:rPr>
                <w:rStyle w:val="Hyperlink"/>
              </w:rPr>
              <w:t>Non-collusion, non-canvassing</w:t>
            </w:r>
            <w:r>
              <w:rPr>
                <w:webHidden/>
              </w:rPr>
              <w:tab/>
            </w:r>
            <w:r>
              <w:rPr>
                <w:webHidden/>
              </w:rPr>
              <w:fldChar w:fldCharType="begin"/>
            </w:r>
            <w:r>
              <w:rPr>
                <w:webHidden/>
              </w:rPr>
              <w:instrText xml:space="preserve"> PAGEREF _Toc201061308 \h </w:instrText>
            </w:r>
            <w:r>
              <w:rPr>
                <w:webHidden/>
              </w:rPr>
            </w:r>
            <w:r>
              <w:rPr>
                <w:webHidden/>
              </w:rPr>
              <w:fldChar w:fldCharType="separate"/>
            </w:r>
            <w:r w:rsidR="00DC7130">
              <w:rPr>
                <w:webHidden/>
              </w:rPr>
              <w:t>28</w:t>
            </w:r>
            <w:r>
              <w:rPr>
                <w:webHidden/>
              </w:rPr>
              <w:fldChar w:fldCharType="end"/>
            </w:r>
          </w:hyperlink>
        </w:p>
        <w:p w14:paraId="0658C40C" w14:textId="7BA9BCA4" w:rsidR="00285078" w:rsidRDefault="00285078">
          <w:pPr>
            <w:pStyle w:val="TOC1"/>
            <w:rPr>
              <w:rFonts w:eastAsiaTheme="minorEastAsia" w:cstheme="minorBidi"/>
              <w:b w:val="0"/>
              <w:noProof/>
              <w:kern w:val="2"/>
              <w14:ligatures w14:val="standardContextual"/>
            </w:rPr>
          </w:pPr>
          <w:hyperlink w:anchor="_Toc201061309" w:history="1">
            <w:r w:rsidRPr="00551716">
              <w:rPr>
                <w:rStyle w:val="Hyperlink"/>
                <w:noProof/>
              </w:rPr>
              <w:t>Appendix B: The Authority’s detailed requirement</w:t>
            </w:r>
            <w:r>
              <w:rPr>
                <w:noProof/>
                <w:webHidden/>
              </w:rPr>
              <w:tab/>
            </w:r>
            <w:r>
              <w:rPr>
                <w:noProof/>
                <w:webHidden/>
              </w:rPr>
              <w:fldChar w:fldCharType="begin"/>
            </w:r>
            <w:r>
              <w:rPr>
                <w:noProof/>
                <w:webHidden/>
              </w:rPr>
              <w:instrText xml:space="preserve"> PAGEREF _Toc201061309 \h </w:instrText>
            </w:r>
            <w:r>
              <w:rPr>
                <w:noProof/>
                <w:webHidden/>
              </w:rPr>
            </w:r>
            <w:r>
              <w:rPr>
                <w:noProof/>
                <w:webHidden/>
              </w:rPr>
              <w:fldChar w:fldCharType="separate"/>
            </w:r>
            <w:r w:rsidR="00DC7130">
              <w:rPr>
                <w:noProof/>
                <w:webHidden/>
              </w:rPr>
              <w:t>32</w:t>
            </w:r>
            <w:r>
              <w:rPr>
                <w:noProof/>
                <w:webHidden/>
              </w:rPr>
              <w:fldChar w:fldCharType="end"/>
            </w:r>
          </w:hyperlink>
        </w:p>
        <w:p w14:paraId="1665B33D" w14:textId="38E47FB2" w:rsidR="00285078" w:rsidRDefault="00285078">
          <w:pPr>
            <w:pStyle w:val="TOC1"/>
            <w:rPr>
              <w:rFonts w:eastAsiaTheme="minorEastAsia" w:cstheme="minorBidi"/>
              <w:b w:val="0"/>
              <w:noProof/>
              <w:kern w:val="2"/>
              <w14:ligatures w14:val="standardContextual"/>
            </w:rPr>
          </w:pPr>
          <w:hyperlink w:anchor="_Toc201061310" w:history="1">
            <w:r w:rsidRPr="00551716">
              <w:rPr>
                <w:rStyle w:val="Hyperlink"/>
                <w:noProof/>
              </w:rPr>
              <w:t>Appendix C: Service Levels, Service Credits and KPIs</w:t>
            </w:r>
            <w:r>
              <w:rPr>
                <w:noProof/>
                <w:webHidden/>
              </w:rPr>
              <w:tab/>
            </w:r>
            <w:r>
              <w:rPr>
                <w:noProof/>
                <w:webHidden/>
              </w:rPr>
              <w:fldChar w:fldCharType="begin"/>
            </w:r>
            <w:r>
              <w:rPr>
                <w:noProof/>
                <w:webHidden/>
              </w:rPr>
              <w:instrText xml:space="preserve"> PAGEREF _Toc201061310 \h </w:instrText>
            </w:r>
            <w:r>
              <w:rPr>
                <w:noProof/>
                <w:webHidden/>
              </w:rPr>
            </w:r>
            <w:r>
              <w:rPr>
                <w:noProof/>
                <w:webHidden/>
              </w:rPr>
              <w:fldChar w:fldCharType="separate"/>
            </w:r>
            <w:r w:rsidR="00DC7130">
              <w:rPr>
                <w:noProof/>
                <w:webHidden/>
              </w:rPr>
              <w:t>36</w:t>
            </w:r>
            <w:r>
              <w:rPr>
                <w:noProof/>
                <w:webHidden/>
              </w:rPr>
              <w:fldChar w:fldCharType="end"/>
            </w:r>
          </w:hyperlink>
        </w:p>
        <w:p w14:paraId="5699EB73" w14:textId="734B79E3" w:rsidR="00285078" w:rsidRDefault="00285078">
          <w:pPr>
            <w:pStyle w:val="TOC1"/>
            <w:rPr>
              <w:rFonts w:eastAsiaTheme="minorEastAsia" w:cstheme="minorBidi"/>
              <w:b w:val="0"/>
              <w:noProof/>
              <w:kern w:val="2"/>
              <w14:ligatures w14:val="standardContextual"/>
            </w:rPr>
          </w:pPr>
          <w:hyperlink w:anchor="_Toc201061311" w:history="1">
            <w:r w:rsidRPr="00551716">
              <w:rPr>
                <w:rStyle w:val="Hyperlink"/>
                <w:noProof/>
              </w:rPr>
              <w:t>Appendix D: The draft contract terms</w:t>
            </w:r>
            <w:r>
              <w:rPr>
                <w:noProof/>
                <w:webHidden/>
              </w:rPr>
              <w:tab/>
            </w:r>
            <w:r>
              <w:rPr>
                <w:noProof/>
                <w:webHidden/>
              </w:rPr>
              <w:fldChar w:fldCharType="begin"/>
            </w:r>
            <w:r>
              <w:rPr>
                <w:noProof/>
                <w:webHidden/>
              </w:rPr>
              <w:instrText xml:space="preserve"> PAGEREF _Toc201061311 \h </w:instrText>
            </w:r>
            <w:r>
              <w:rPr>
                <w:noProof/>
                <w:webHidden/>
              </w:rPr>
            </w:r>
            <w:r>
              <w:rPr>
                <w:noProof/>
                <w:webHidden/>
              </w:rPr>
              <w:fldChar w:fldCharType="separate"/>
            </w:r>
            <w:r w:rsidR="00DC7130">
              <w:rPr>
                <w:noProof/>
                <w:webHidden/>
              </w:rPr>
              <w:t>39</w:t>
            </w:r>
            <w:r>
              <w:rPr>
                <w:noProof/>
                <w:webHidden/>
              </w:rPr>
              <w:fldChar w:fldCharType="end"/>
            </w:r>
          </w:hyperlink>
        </w:p>
        <w:p w14:paraId="69EA6EC5" w14:textId="7AE88CC2" w:rsidR="00285078" w:rsidRDefault="00285078">
          <w:pPr>
            <w:pStyle w:val="TOC1"/>
            <w:rPr>
              <w:rFonts w:eastAsiaTheme="minorEastAsia" w:cstheme="minorBidi"/>
              <w:b w:val="0"/>
              <w:noProof/>
              <w:kern w:val="2"/>
              <w14:ligatures w14:val="standardContextual"/>
            </w:rPr>
          </w:pPr>
          <w:hyperlink w:anchor="_Toc201061312" w:history="1">
            <w:r w:rsidRPr="00551716">
              <w:rPr>
                <w:rStyle w:val="Hyperlink"/>
                <w:noProof/>
              </w:rPr>
              <w:t>Appendix E: Glossary</w:t>
            </w:r>
            <w:r>
              <w:rPr>
                <w:noProof/>
                <w:webHidden/>
              </w:rPr>
              <w:tab/>
            </w:r>
            <w:r>
              <w:rPr>
                <w:noProof/>
                <w:webHidden/>
              </w:rPr>
              <w:fldChar w:fldCharType="begin"/>
            </w:r>
            <w:r>
              <w:rPr>
                <w:noProof/>
                <w:webHidden/>
              </w:rPr>
              <w:instrText xml:space="preserve"> PAGEREF _Toc201061312 \h </w:instrText>
            </w:r>
            <w:r>
              <w:rPr>
                <w:noProof/>
                <w:webHidden/>
              </w:rPr>
            </w:r>
            <w:r>
              <w:rPr>
                <w:noProof/>
                <w:webHidden/>
              </w:rPr>
              <w:fldChar w:fldCharType="separate"/>
            </w:r>
            <w:r w:rsidR="00DC7130">
              <w:rPr>
                <w:noProof/>
                <w:webHidden/>
              </w:rPr>
              <w:t>40</w:t>
            </w:r>
            <w:r>
              <w:rPr>
                <w:noProof/>
                <w:webHidden/>
              </w:rPr>
              <w:fldChar w:fldCharType="end"/>
            </w:r>
          </w:hyperlink>
        </w:p>
        <w:p w14:paraId="61A86D28" w14:textId="5D1E6EBF" w:rsidR="00285078" w:rsidRDefault="00285078">
          <w:pPr>
            <w:pStyle w:val="TOC1"/>
            <w:rPr>
              <w:rFonts w:eastAsiaTheme="minorEastAsia" w:cstheme="minorBidi"/>
              <w:b w:val="0"/>
              <w:noProof/>
              <w:kern w:val="2"/>
              <w14:ligatures w14:val="standardContextual"/>
            </w:rPr>
          </w:pPr>
          <w:hyperlink w:anchor="_Toc201061313" w:history="1">
            <w:r w:rsidRPr="00551716">
              <w:rPr>
                <w:rStyle w:val="Hyperlink"/>
                <w:noProof/>
              </w:rPr>
              <w:t>Appendix F: Form of tender</w:t>
            </w:r>
            <w:r>
              <w:rPr>
                <w:noProof/>
                <w:webHidden/>
              </w:rPr>
              <w:tab/>
            </w:r>
            <w:r>
              <w:rPr>
                <w:noProof/>
                <w:webHidden/>
              </w:rPr>
              <w:fldChar w:fldCharType="begin"/>
            </w:r>
            <w:r>
              <w:rPr>
                <w:noProof/>
                <w:webHidden/>
              </w:rPr>
              <w:instrText xml:space="preserve"> PAGEREF _Toc201061313 \h </w:instrText>
            </w:r>
            <w:r>
              <w:rPr>
                <w:noProof/>
                <w:webHidden/>
              </w:rPr>
            </w:r>
            <w:r>
              <w:rPr>
                <w:noProof/>
                <w:webHidden/>
              </w:rPr>
              <w:fldChar w:fldCharType="separate"/>
            </w:r>
            <w:r w:rsidR="00DC7130">
              <w:rPr>
                <w:noProof/>
                <w:webHidden/>
              </w:rPr>
              <w:t>41</w:t>
            </w:r>
            <w:r>
              <w:rPr>
                <w:noProof/>
                <w:webHidden/>
              </w:rPr>
              <w:fldChar w:fldCharType="end"/>
            </w:r>
          </w:hyperlink>
        </w:p>
        <w:p w14:paraId="15707F76" w14:textId="480E6C0B" w:rsidR="00285078" w:rsidRDefault="00285078">
          <w:pPr>
            <w:pStyle w:val="TOC1"/>
            <w:rPr>
              <w:rFonts w:eastAsiaTheme="minorEastAsia" w:cstheme="minorBidi"/>
              <w:b w:val="0"/>
              <w:noProof/>
              <w:kern w:val="2"/>
              <w14:ligatures w14:val="standardContextual"/>
            </w:rPr>
          </w:pPr>
          <w:hyperlink w:anchor="_Toc201061314" w:history="1">
            <w:r w:rsidRPr="00551716">
              <w:rPr>
                <w:rStyle w:val="Hyperlink"/>
                <w:noProof/>
              </w:rPr>
              <w:t>Appendix G: Certificate of non-collusion and non-canvassing</w:t>
            </w:r>
            <w:r>
              <w:rPr>
                <w:noProof/>
                <w:webHidden/>
              </w:rPr>
              <w:tab/>
            </w:r>
            <w:r>
              <w:rPr>
                <w:noProof/>
                <w:webHidden/>
              </w:rPr>
              <w:fldChar w:fldCharType="begin"/>
            </w:r>
            <w:r>
              <w:rPr>
                <w:noProof/>
                <w:webHidden/>
              </w:rPr>
              <w:instrText xml:space="preserve"> PAGEREF _Toc201061314 \h </w:instrText>
            </w:r>
            <w:r>
              <w:rPr>
                <w:noProof/>
                <w:webHidden/>
              </w:rPr>
            </w:r>
            <w:r>
              <w:rPr>
                <w:noProof/>
                <w:webHidden/>
              </w:rPr>
              <w:fldChar w:fldCharType="separate"/>
            </w:r>
            <w:r w:rsidR="00DC7130">
              <w:rPr>
                <w:noProof/>
                <w:webHidden/>
              </w:rPr>
              <w:t>43</w:t>
            </w:r>
            <w:r>
              <w:rPr>
                <w:noProof/>
                <w:webHidden/>
              </w:rPr>
              <w:fldChar w:fldCharType="end"/>
            </w:r>
          </w:hyperlink>
        </w:p>
        <w:p w14:paraId="17D682E0" w14:textId="62F816CF" w:rsidR="00285078" w:rsidRDefault="00285078">
          <w:pPr>
            <w:pStyle w:val="TOC1"/>
            <w:rPr>
              <w:rFonts w:eastAsiaTheme="minorEastAsia" w:cstheme="minorBidi"/>
              <w:b w:val="0"/>
              <w:noProof/>
              <w:kern w:val="2"/>
              <w14:ligatures w14:val="standardContextual"/>
            </w:rPr>
          </w:pPr>
          <w:hyperlink w:anchor="_Toc201061315" w:history="1">
            <w:r w:rsidRPr="00551716">
              <w:rPr>
                <w:rStyle w:val="Hyperlink"/>
                <w:noProof/>
              </w:rPr>
              <w:t>Appendix H: Commercially sensitive information</w:t>
            </w:r>
            <w:r>
              <w:rPr>
                <w:noProof/>
                <w:webHidden/>
              </w:rPr>
              <w:tab/>
            </w:r>
            <w:r>
              <w:rPr>
                <w:noProof/>
                <w:webHidden/>
              </w:rPr>
              <w:fldChar w:fldCharType="begin"/>
            </w:r>
            <w:r>
              <w:rPr>
                <w:noProof/>
                <w:webHidden/>
              </w:rPr>
              <w:instrText xml:space="preserve"> PAGEREF _Toc201061315 \h </w:instrText>
            </w:r>
            <w:r>
              <w:rPr>
                <w:noProof/>
                <w:webHidden/>
              </w:rPr>
            </w:r>
            <w:r>
              <w:rPr>
                <w:noProof/>
                <w:webHidden/>
              </w:rPr>
              <w:fldChar w:fldCharType="separate"/>
            </w:r>
            <w:r w:rsidR="00DC7130">
              <w:rPr>
                <w:noProof/>
                <w:webHidden/>
              </w:rPr>
              <w:t>45</w:t>
            </w:r>
            <w:r>
              <w:rPr>
                <w:noProof/>
                <w:webHidden/>
              </w:rPr>
              <w:fldChar w:fldCharType="end"/>
            </w:r>
          </w:hyperlink>
        </w:p>
        <w:p w14:paraId="110EF0EA" w14:textId="1B6776E9" w:rsidR="001434A2" w:rsidRDefault="005963DA" w:rsidP="00E67F97">
          <w:pPr>
            <w:pStyle w:val="TOC1"/>
          </w:pPr>
          <w:r>
            <w:fldChar w:fldCharType="end"/>
          </w:r>
        </w:p>
      </w:sdtContent>
    </w:sdt>
    <w:p w14:paraId="2C8FD9E2" w14:textId="52F4822B" w:rsidR="00AE2304" w:rsidRPr="001434A2" w:rsidRDefault="00285078" w:rsidP="00285078">
      <w:pPr>
        <w:pStyle w:val="Heading1"/>
        <w:numPr>
          <w:ilvl w:val="0"/>
          <w:numId w:val="0"/>
        </w:numPr>
      </w:pPr>
      <w:bookmarkStart w:id="1" w:name="_Toc201061288"/>
      <w:r>
        <w:lastRenderedPageBreak/>
        <w:t>1.</w:t>
      </w:r>
      <w:r w:rsidR="4E49986E">
        <w:t xml:space="preserve"> </w:t>
      </w:r>
      <w:r w:rsidR="00AE2304">
        <w:t>Deadline for responding to this document</w:t>
      </w:r>
      <w:bookmarkEnd w:id="1"/>
    </w:p>
    <w:p w14:paraId="25A67617" w14:textId="43DD4D56" w:rsidR="00D13322" w:rsidRPr="008C45D2" w:rsidRDefault="00AE2304" w:rsidP="31758B17">
      <w:pPr>
        <w:pStyle w:val="BodyText1"/>
        <w:spacing w:line="360" w:lineRule="auto"/>
        <w:jc w:val="both"/>
        <w:rPr>
          <w:rFonts w:eastAsiaTheme="minorEastAsia" w:cstheme="minorBidi"/>
          <w:lang w:eastAsia="en-US"/>
        </w:rPr>
      </w:pPr>
      <w:r w:rsidRPr="31758B17">
        <w:rPr>
          <w:rFonts w:eastAsiaTheme="minorEastAsia" w:cstheme="minorBidi"/>
          <w:lang w:eastAsia="en-US"/>
        </w:rPr>
        <w:t xml:space="preserve">The deadline for responding to this </w:t>
      </w:r>
      <w:r w:rsidR="005C7F87" w:rsidRPr="31758B17">
        <w:rPr>
          <w:rFonts w:eastAsiaTheme="minorEastAsia" w:cstheme="minorBidi"/>
          <w:lang w:eastAsia="en-US"/>
        </w:rPr>
        <w:t xml:space="preserve">Competitive Flexible Procedure for </w:t>
      </w:r>
      <w:r w:rsidR="004B7C5E" w:rsidRPr="31758B17">
        <w:rPr>
          <w:rFonts w:eastAsiaTheme="minorEastAsia" w:cstheme="minorBidi"/>
          <w:lang w:eastAsia="en-US"/>
        </w:rPr>
        <w:t xml:space="preserve">Fund Administration &amp; Custody </w:t>
      </w:r>
      <w:r w:rsidR="4149175E" w:rsidRPr="31758B17">
        <w:rPr>
          <w:rFonts w:eastAsiaTheme="minorEastAsia" w:cstheme="minorBidi"/>
          <w:lang w:eastAsia="en-US"/>
        </w:rPr>
        <w:t>Services is</w:t>
      </w:r>
      <w:r w:rsidRPr="31758B17">
        <w:rPr>
          <w:rFonts w:eastAsiaTheme="minorEastAsia" w:cstheme="minorBidi"/>
          <w:lang w:eastAsia="en-US"/>
        </w:rPr>
        <w:t xml:space="preserve"> </w:t>
      </w:r>
      <w:r w:rsidR="00153566" w:rsidRPr="31758B17">
        <w:rPr>
          <w:rFonts w:eastAsiaTheme="minorEastAsia" w:cstheme="minorBidi"/>
          <w:lang w:eastAsia="en-US"/>
        </w:rPr>
        <w:t xml:space="preserve">17:00 on the </w:t>
      </w:r>
      <w:proofErr w:type="gramStart"/>
      <w:r w:rsidR="41426F13" w:rsidRPr="00841EE8">
        <w:rPr>
          <w:rFonts w:eastAsiaTheme="minorEastAsia" w:cstheme="minorBidi"/>
          <w:lang w:eastAsia="en-US"/>
        </w:rPr>
        <w:t>11th</w:t>
      </w:r>
      <w:proofErr w:type="gramEnd"/>
      <w:r w:rsidR="41426F13" w:rsidRPr="00841EE8">
        <w:rPr>
          <w:rFonts w:eastAsiaTheme="minorEastAsia" w:cstheme="minorBidi"/>
          <w:lang w:eastAsia="en-US"/>
        </w:rPr>
        <w:t xml:space="preserve"> July 2025</w:t>
      </w:r>
      <w:r w:rsidRPr="31758B17">
        <w:rPr>
          <w:rFonts w:eastAsiaTheme="minorEastAsia" w:cstheme="minorBidi"/>
          <w:lang w:eastAsia="en-US"/>
        </w:rPr>
        <w:t xml:space="preserve"> See ‘Procurement timetable’ and ‘How to respond to this opportunity’.</w:t>
      </w:r>
    </w:p>
    <w:p w14:paraId="7E0D12AA" w14:textId="729BC455" w:rsidR="0070596D" w:rsidRDefault="141C30BE" w:rsidP="00DF644D">
      <w:pPr>
        <w:pStyle w:val="Heading1"/>
        <w:numPr>
          <w:ilvl w:val="0"/>
          <w:numId w:val="0"/>
        </w:numPr>
      </w:pPr>
      <w:bookmarkStart w:id="2" w:name="_Toc167865296"/>
      <w:bookmarkStart w:id="3" w:name="_Toc201061289"/>
      <w:r>
        <w:lastRenderedPageBreak/>
        <w:t xml:space="preserve">2. </w:t>
      </w:r>
      <w:r w:rsidR="00AE2304">
        <w:t>Introduction</w:t>
      </w:r>
      <w:bookmarkEnd w:id="3"/>
    </w:p>
    <w:p w14:paraId="5D93FCBF" w14:textId="77777777"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This procurement is being conducted in accordance with the Procurement Act 2023 using the Competitive Flexible Procedure. This document outlines how the procurement will be managed, including key stages, participation requirements, evaluation methodology, and submission instructions. Suppliers are strongly advised to read this document in full before preparing their submissions.</w:t>
      </w:r>
    </w:p>
    <w:p w14:paraId="61253F0C" w14:textId="77777777"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To ensure the Authority can select suppliers that best meet its service requirements, the procurement has been divided into three distinct Lots, as follows:</w:t>
      </w:r>
    </w:p>
    <w:p w14:paraId="6CF0A7EB" w14:textId="77777777" w:rsidR="00395646" w:rsidRPr="00395646" w:rsidRDefault="00395646" w:rsidP="00395646">
      <w:pPr>
        <w:pStyle w:val="Normal1"/>
        <w:spacing w:line="360" w:lineRule="auto"/>
        <w:jc w:val="both"/>
        <w:rPr>
          <w:rFonts w:asciiTheme="minorHAnsi" w:eastAsiaTheme="minorEastAsia" w:hAnsiTheme="minorHAnsi" w:cstheme="minorBidi"/>
        </w:rPr>
      </w:pPr>
    </w:p>
    <w:p w14:paraId="6766C62C" w14:textId="77777777"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Lot 1 – Core Services: Including custody, fund administration, depository, transfer agency, and current-state investment operations. This Lot is essential and is expected to commence on or around 1 January 2026.</w:t>
      </w:r>
    </w:p>
    <w:p w14:paraId="235134BC" w14:textId="77777777"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Lot 2 – Client Reporting Services: Covering reporting production, automation, data delivery and oversight tools. This Lot is also expected to begin from 1 January 2026.</w:t>
      </w:r>
    </w:p>
    <w:p w14:paraId="0443549B" w14:textId="17CC9C4D"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 xml:space="preserve">Lot 3 – Ancillary Services: Covering performance measurement, compliance monitoring, withholding tax services, and a potential future-state investment operations model. This Lot is </w:t>
      </w:r>
      <w:r w:rsidR="00C91AFF">
        <w:rPr>
          <w:rFonts w:asciiTheme="minorHAnsi" w:eastAsiaTheme="minorEastAsia" w:hAnsiTheme="minorHAnsi" w:cstheme="minorBidi"/>
        </w:rPr>
        <w:t xml:space="preserve">discretionary </w:t>
      </w:r>
      <w:r w:rsidRPr="00395646">
        <w:rPr>
          <w:rFonts w:asciiTheme="minorHAnsi" w:eastAsiaTheme="minorEastAsia" w:hAnsiTheme="minorHAnsi" w:cstheme="minorBidi"/>
        </w:rPr>
        <w:t xml:space="preserve">and </w:t>
      </w:r>
      <w:r w:rsidR="00C91AFF">
        <w:rPr>
          <w:rFonts w:asciiTheme="minorHAnsi" w:eastAsiaTheme="minorEastAsia" w:hAnsiTheme="minorHAnsi" w:cstheme="minorBidi"/>
        </w:rPr>
        <w:t xml:space="preserve">contains functions that </w:t>
      </w:r>
      <w:r w:rsidRPr="00395646">
        <w:rPr>
          <w:rFonts w:asciiTheme="minorHAnsi" w:eastAsiaTheme="minorEastAsia" w:hAnsiTheme="minorHAnsi" w:cstheme="minorBidi"/>
        </w:rPr>
        <w:t xml:space="preserve">may be phased in </w:t>
      </w:r>
      <w:r w:rsidR="00974CAE">
        <w:rPr>
          <w:rFonts w:asciiTheme="minorHAnsi" w:eastAsiaTheme="minorEastAsia" w:hAnsiTheme="minorHAnsi" w:cstheme="minorBidi"/>
        </w:rPr>
        <w:t>during the Lot 1 lifecycle</w:t>
      </w:r>
      <w:r w:rsidRPr="00395646">
        <w:rPr>
          <w:rFonts w:asciiTheme="minorHAnsi" w:eastAsiaTheme="minorEastAsia" w:hAnsiTheme="minorHAnsi" w:cstheme="minorBidi"/>
        </w:rPr>
        <w:t xml:space="preserve">. The Authority reserves the right to amend or withdraw this Lot based on evolving operational </w:t>
      </w:r>
      <w:r w:rsidR="000359F9">
        <w:rPr>
          <w:rFonts w:asciiTheme="minorHAnsi" w:eastAsiaTheme="minorEastAsia" w:hAnsiTheme="minorHAnsi" w:cstheme="minorBidi"/>
        </w:rPr>
        <w:t>requirements</w:t>
      </w:r>
      <w:r w:rsidRPr="00395646">
        <w:rPr>
          <w:rFonts w:asciiTheme="minorHAnsi" w:eastAsiaTheme="minorEastAsia" w:hAnsiTheme="minorHAnsi" w:cstheme="minorBidi"/>
        </w:rPr>
        <w:t>.</w:t>
      </w:r>
    </w:p>
    <w:p w14:paraId="2611717D" w14:textId="77777777" w:rsidR="00395646" w:rsidRPr="00395646" w:rsidRDefault="00395646" w:rsidP="00395646">
      <w:pPr>
        <w:pStyle w:val="Normal1"/>
        <w:spacing w:line="360" w:lineRule="auto"/>
        <w:jc w:val="both"/>
        <w:rPr>
          <w:rFonts w:asciiTheme="minorHAnsi" w:eastAsiaTheme="minorEastAsia" w:hAnsiTheme="minorHAnsi" w:cstheme="minorBidi"/>
        </w:rPr>
      </w:pPr>
    </w:p>
    <w:p w14:paraId="063B7E36" w14:textId="346E9E7F"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Suppliers may bid for one</w:t>
      </w:r>
      <w:r w:rsidR="00716BDB">
        <w:rPr>
          <w:rFonts w:asciiTheme="minorHAnsi" w:eastAsiaTheme="minorEastAsia" w:hAnsiTheme="minorHAnsi" w:cstheme="minorBidi"/>
        </w:rPr>
        <w:t xml:space="preserve"> or </w:t>
      </w:r>
      <w:r w:rsidR="00EA5061">
        <w:rPr>
          <w:rFonts w:asciiTheme="minorHAnsi" w:eastAsiaTheme="minorEastAsia" w:hAnsiTheme="minorHAnsi" w:cstheme="minorBidi"/>
        </w:rPr>
        <w:t>more</w:t>
      </w:r>
      <w:r w:rsidR="00EA5061" w:rsidRPr="00395646">
        <w:rPr>
          <w:rFonts w:asciiTheme="minorHAnsi" w:eastAsiaTheme="minorEastAsia" w:hAnsiTheme="minorHAnsi" w:cstheme="minorBidi"/>
        </w:rPr>
        <w:t xml:space="preserve"> Lots</w:t>
      </w:r>
      <w:r w:rsidRPr="00395646">
        <w:rPr>
          <w:rFonts w:asciiTheme="minorHAnsi" w:eastAsiaTheme="minorEastAsia" w:hAnsiTheme="minorHAnsi" w:cstheme="minorBidi"/>
        </w:rPr>
        <w:t>. Evaluation and contract awards will be conducted on a Lot-by-Lot basis, and separate contracts will be awarded accordingly. There is no guarantee that all Lots will be awarded as part of this procurement.</w:t>
      </w:r>
    </w:p>
    <w:p w14:paraId="5CE33BB7" w14:textId="6B037E8A" w:rsidR="00395646" w:rsidRPr="00395646" w:rsidRDefault="00DF6EF1" w:rsidP="00395646">
      <w:pPr>
        <w:pStyle w:val="Normal1"/>
        <w:spacing w:line="360" w:lineRule="auto"/>
        <w:jc w:val="both"/>
        <w:rPr>
          <w:rFonts w:asciiTheme="minorHAnsi" w:eastAsiaTheme="minorEastAsia" w:hAnsiTheme="minorHAnsi" w:cstheme="minorBidi"/>
        </w:rPr>
      </w:pPr>
      <w:r>
        <w:rPr>
          <w:rFonts w:asciiTheme="minorHAnsi" w:eastAsiaTheme="minorEastAsia" w:hAnsiTheme="minorHAnsi" w:cstheme="minorBidi"/>
        </w:rPr>
        <w:t xml:space="preserve">Suppliers must </w:t>
      </w:r>
      <w:r w:rsidR="00395646" w:rsidRPr="00395646">
        <w:rPr>
          <w:rFonts w:asciiTheme="minorHAnsi" w:eastAsiaTheme="minorEastAsia" w:hAnsiTheme="minorHAnsi" w:cstheme="minorBidi"/>
        </w:rPr>
        <w:t>review this document and all associated schedules and notices carefully. Failure to comply with the requirements set out in this documentation may result in disqualification from the process.</w:t>
      </w:r>
    </w:p>
    <w:p w14:paraId="2916DC76" w14:textId="77777777" w:rsidR="00395646" w:rsidRPr="00395646" w:rsidRDefault="00395646" w:rsidP="00395646">
      <w:pPr>
        <w:pStyle w:val="Normal1"/>
        <w:spacing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This document should be read alongside the Tender Notice and supporting materials available via the Central Digital Platform.</w:t>
      </w:r>
    </w:p>
    <w:p w14:paraId="4305B5A7" w14:textId="07E64318" w:rsidR="00AE2304" w:rsidRPr="00EF118A" w:rsidRDefault="00395646" w:rsidP="00A61E47">
      <w:pPr>
        <w:pStyle w:val="Normal1"/>
        <w:spacing w:before="120" w:after="240" w:line="360" w:lineRule="auto"/>
        <w:jc w:val="both"/>
        <w:rPr>
          <w:rFonts w:asciiTheme="minorHAnsi" w:eastAsiaTheme="minorEastAsia" w:hAnsiTheme="minorHAnsi" w:cstheme="minorBidi"/>
        </w:rPr>
      </w:pPr>
      <w:r w:rsidRPr="00395646">
        <w:rPr>
          <w:rFonts w:asciiTheme="minorHAnsi" w:eastAsiaTheme="minorEastAsia" w:hAnsiTheme="minorHAnsi" w:cstheme="minorBidi"/>
        </w:rPr>
        <w:t>The Authority reserves the right to update or amend this document at any stage of the procurement to reflect further developments or clarifications. Updates will be issued to all participating suppliers.</w:t>
      </w:r>
    </w:p>
    <w:p w14:paraId="4D16ACAC" w14:textId="504C95C5" w:rsidR="00AE2304" w:rsidRPr="00EF118A" w:rsidRDefault="00AE2304" w:rsidP="31758B17">
      <w:pPr>
        <w:pStyle w:val="Normal1"/>
        <w:spacing w:before="120" w:after="240" w:line="360" w:lineRule="auto"/>
        <w:jc w:val="both"/>
        <w:rPr>
          <w:rFonts w:asciiTheme="minorHAnsi" w:eastAsiaTheme="minorEastAsia" w:hAnsiTheme="minorHAnsi" w:cstheme="minorBidi"/>
        </w:rPr>
      </w:pPr>
      <w:r w:rsidRPr="31758B17">
        <w:rPr>
          <w:rFonts w:asciiTheme="minorHAnsi" w:eastAsiaTheme="minorEastAsia" w:hAnsiTheme="minorHAnsi" w:cstheme="minorBidi"/>
        </w:rPr>
        <w:lastRenderedPageBreak/>
        <w:t>Please read and ensure compliance with the Procurement terms and conditions contained in Appendix A.</w:t>
      </w:r>
    </w:p>
    <w:p w14:paraId="79EB16A0"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Common terms and expressions shall have the meanings ascribed to them in the glossary in Appendix E.</w:t>
      </w:r>
    </w:p>
    <w:p w14:paraId="4ACFF7A7"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All references to a ‘section’ are to a section in the Act unless otherwise stated.</w:t>
      </w:r>
    </w:p>
    <w:p w14:paraId="275CA15A"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All references to a ‘paragraph’, ‘appendix’ or ‘annex’ are to a paragraph, appendix or annex of this document unless otherwise stated.</w:t>
      </w:r>
    </w:p>
    <w:p w14:paraId="27A6D1D0"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 xml:space="preserve">All references to dates and times within this document shall be interpreted in accordance with the United Kingdom time zones applicable at the date of the Procurement (i.e. GMT/BST). </w:t>
      </w:r>
    </w:p>
    <w:p w14:paraId="45CBE36A" w14:textId="49C38C2E" w:rsidR="00D13322" w:rsidRDefault="5F1C9A4B" w:rsidP="00DF644D">
      <w:pPr>
        <w:pStyle w:val="Heading1"/>
        <w:numPr>
          <w:ilvl w:val="0"/>
          <w:numId w:val="0"/>
        </w:numPr>
      </w:pPr>
      <w:bookmarkStart w:id="4" w:name="_Toc201061290"/>
      <w:bookmarkEnd w:id="2"/>
      <w:r>
        <w:lastRenderedPageBreak/>
        <w:t xml:space="preserve">3. </w:t>
      </w:r>
      <w:r w:rsidR="002107B6">
        <w:t>Introduction to the Authority</w:t>
      </w:r>
      <w:bookmarkEnd w:id="4"/>
    </w:p>
    <w:p w14:paraId="76995A87" w14:textId="77777777" w:rsidR="00A24F9A" w:rsidRDefault="00A24F9A" w:rsidP="00966E14">
      <w:pPr>
        <w:pStyle w:val="Normal1"/>
        <w:spacing w:line="360" w:lineRule="auto"/>
        <w:jc w:val="both"/>
        <w:rPr>
          <w:rFonts w:asciiTheme="minorHAnsi" w:eastAsiaTheme="minorEastAsia" w:hAnsiTheme="minorHAnsi" w:cstheme="minorBidi"/>
        </w:rPr>
      </w:pPr>
      <w:r w:rsidRPr="006B6B05">
        <w:rPr>
          <w:rFonts w:asciiTheme="minorHAnsi" w:eastAsiaTheme="minorEastAsia" w:hAnsiTheme="minorHAnsi" w:cstheme="minorBidi"/>
        </w:rPr>
        <w:t xml:space="preserve">London LGPS CIV Ltd (‘London CIV’) is the investment pool for London-based Local Government Pension Schemes (LGPS), which have combined assets of £50.8bn (as </w:t>
      </w:r>
      <w:proofErr w:type="gramStart"/>
      <w:r w:rsidRPr="006B6B05">
        <w:rPr>
          <w:rFonts w:asciiTheme="minorHAnsi" w:eastAsiaTheme="minorEastAsia" w:hAnsiTheme="minorHAnsi" w:cstheme="minorBidi"/>
        </w:rPr>
        <w:t>at</w:t>
      </w:r>
      <w:proofErr w:type="gramEnd"/>
      <w:r w:rsidRPr="006B6B05">
        <w:rPr>
          <w:rFonts w:asciiTheme="minorHAnsi" w:eastAsiaTheme="minorEastAsia" w:hAnsiTheme="minorHAnsi" w:cstheme="minorBidi"/>
        </w:rPr>
        <w:t xml:space="preserve"> 31 March 2024). Authorised and regulated by the Financial Conduct Authority (‘FCA’), the pool is owned by all 32 London boroughs and the City of London (also known as London CIV’s Partner Funds).</w:t>
      </w:r>
    </w:p>
    <w:p w14:paraId="6D33D28A" w14:textId="77777777" w:rsidR="00966E14" w:rsidRPr="006B6B05" w:rsidRDefault="00966E14" w:rsidP="00966E14">
      <w:pPr>
        <w:pStyle w:val="Normal1"/>
        <w:spacing w:line="360" w:lineRule="auto"/>
        <w:jc w:val="both"/>
        <w:rPr>
          <w:rFonts w:asciiTheme="minorHAnsi" w:eastAsiaTheme="minorEastAsia" w:hAnsiTheme="minorHAnsi" w:cstheme="minorBidi"/>
        </w:rPr>
      </w:pPr>
    </w:p>
    <w:p w14:paraId="5CB3CA73" w14:textId="77777777" w:rsidR="00A24F9A" w:rsidRPr="006B6B05" w:rsidRDefault="00A24F9A" w:rsidP="00966E14">
      <w:pPr>
        <w:pStyle w:val="Normal1"/>
        <w:spacing w:line="360" w:lineRule="auto"/>
        <w:jc w:val="both"/>
        <w:rPr>
          <w:rFonts w:asciiTheme="minorHAnsi" w:eastAsiaTheme="minorEastAsia" w:hAnsiTheme="minorHAnsi" w:cstheme="minorBidi"/>
        </w:rPr>
      </w:pPr>
      <w:r w:rsidRPr="006B6B05">
        <w:rPr>
          <w:rStyle w:val="normaltextrun"/>
          <w:rFonts w:asciiTheme="minorHAnsi" w:eastAsiaTheme="minorEastAsia" w:hAnsiTheme="minorHAnsi" w:cstheme="minorBidi"/>
          <w:color w:val="272727"/>
          <w:shd w:val="clear" w:color="auto" w:fill="FFFFFF"/>
        </w:rPr>
        <w:t>London CIV’s ambition is to be the trusted investment partner of the London LGPS, working with them to drive down the cost of investment and improve outcomes, through economies of scale and the provision of dedicated investment expertise. In addition to investment activity, we aim to provide tangential benefits that are expected of an investment partner, such as reporting, education and thought leadership in evolving areas. Our purpose is working together to deliver sustainable prosperity for the communities that count on us all.</w:t>
      </w:r>
    </w:p>
    <w:p w14:paraId="39E044F5" w14:textId="77777777" w:rsidR="001151C6" w:rsidRPr="001151C6" w:rsidRDefault="001151C6" w:rsidP="00EF118A">
      <w:pPr>
        <w:pStyle w:val="BodyText1"/>
        <w:jc w:val="both"/>
      </w:pPr>
    </w:p>
    <w:p w14:paraId="6BC2309C" w14:textId="0A77779B" w:rsidR="00D13322" w:rsidRDefault="5CEF1F62" w:rsidP="00DF644D">
      <w:pPr>
        <w:pStyle w:val="Heading1"/>
        <w:numPr>
          <w:ilvl w:val="0"/>
          <w:numId w:val="0"/>
        </w:numPr>
      </w:pPr>
      <w:bookmarkStart w:id="5" w:name="_Toc201061291"/>
      <w:r>
        <w:lastRenderedPageBreak/>
        <w:t xml:space="preserve">4. </w:t>
      </w:r>
      <w:r w:rsidR="002107B6">
        <w:t>Overview of the Authority’s requirement</w:t>
      </w:r>
      <w:bookmarkEnd w:id="5"/>
    </w:p>
    <w:p w14:paraId="01AA0148" w14:textId="77777777" w:rsidR="002D4CA0" w:rsidRDefault="002D4CA0" w:rsidP="002D4CA0">
      <w:r>
        <w:t>The Authority is seeking to appoint one or more suppliers to deliver a range of services in support of its investment fund platform, operational oversight model, and client servicing responsibilities. These services have been grouped into three Lots and will be awarded via a Competitive Flexible Procedure under the Procurement Act 2023.</w:t>
      </w:r>
    </w:p>
    <w:p w14:paraId="71FFCC05" w14:textId="77777777" w:rsidR="002D4CA0" w:rsidRDefault="002D4CA0" w:rsidP="002D4CA0"/>
    <w:p w14:paraId="7D42C3BD" w14:textId="77777777" w:rsidR="002D4CA0" w:rsidRDefault="002D4CA0" w:rsidP="002D4CA0">
      <w:r>
        <w:t>The services sought through this procurement will replace those currently delivered by the Authority’s existing providers, whose contracts are due to expire on 31 December 2025. A transition window will be established to allow for implementation and onboarding activities in advance of go-live dates.</w:t>
      </w:r>
    </w:p>
    <w:p w14:paraId="055C3302" w14:textId="77777777" w:rsidR="002D4CA0" w:rsidRDefault="002D4CA0" w:rsidP="002D4CA0"/>
    <w:p w14:paraId="3D1D8541" w14:textId="77777777" w:rsidR="002D4CA0" w:rsidRDefault="002D4CA0" w:rsidP="002D4CA0">
      <w:r>
        <w:t>Suppliers may submit proposals for one, multiple, or all Lots. Each Lot will be evaluated and awarded independently, and the Authority reserves the right to award all, some, or none of the Lots depending on the quality and value of tenders received.</w:t>
      </w:r>
    </w:p>
    <w:p w14:paraId="308DEAED" w14:textId="77777777" w:rsidR="002D4CA0" w:rsidRDefault="002D4CA0" w:rsidP="002D4CA0"/>
    <w:p w14:paraId="4F7A578B" w14:textId="77777777" w:rsidR="002D4CA0" w:rsidRDefault="002D4CA0" w:rsidP="002D4CA0">
      <w:r>
        <w:t>Lot 1 – Core Services</w:t>
      </w:r>
    </w:p>
    <w:p w14:paraId="237D5A59" w14:textId="647F0C3B" w:rsidR="002D4CA0" w:rsidRDefault="002D4CA0" w:rsidP="002D4CA0">
      <w:r>
        <w:t xml:space="preserve">This Lot comprises the Authority’s essential operational fund services and will form the backbone of the </w:t>
      </w:r>
      <w:r w:rsidR="004251E5">
        <w:t>requirements</w:t>
      </w:r>
      <w:r>
        <w:t>. The services in scope include:</w:t>
      </w:r>
    </w:p>
    <w:p w14:paraId="1AFFBC8F" w14:textId="77777777" w:rsidR="002D4CA0" w:rsidRDefault="002D4CA0" w:rsidP="002D4CA0"/>
    <w:p w14:paraId="5FF18494" w14:textId="77777777" w:rsidR="002D4CA0" w:rsidRDefault="002D4CA0" w:rsidP="002D4CA0">
      <w:r>
        <w:t>Custody (including safekeeping, settlements, corporate actions, proxy voting);</w:t>
      </w:r>
    </w:p>
    <w:p w14:paraId="39F3A50C" w14:textId="77777777" w:rsidR="00C40BEE" w:rsidRDefault="00C40BEE" w:rsidP="00C40BEE">
      <w:r>
        <w:t>Custody: Provision of global and domestic custody across asset classes including listed securities, fixed income, private markets, and derivatives. Core activities include safekeeping, settlement, income collection, corporate action processing, and proxy voting coordination.</w:t>
      </w:r>
    </w:p>
    <w:p w14:paraId="530F9B9E" w14:textId="77777777" w:rsidR="00C40BEE" w:rsidRDefault="00C40BEE" w:rsidP="00C40BEE"/>
    <w:p w14:paraId="18D1E992" w14:textId="77777777" w:rsidR="00C40BEE" w:rsidRDefault="00C40BEE" w:rsidP="00C40BEE">
      <w:r>
        <w:t>Fund Administration: Full NAV accounting and unit pricing for both public and private market funds. Requirements include accurate valuation, shadow NAV capabilities, financial reporting, and audit support.</w:t>
      </w:r>
    </w:p>
    <w:p w14:paraId="47FA5277" w14:textId="77777777" w:rsidR="00C40BEE" w:rsidRDefault="00C40BEE" w:rsidP="00C40BEE"/>
    <w:p w14:paraId="693A838F" w14:textId="14060886" w:rsidR="00C40BEE" w:rsidRDefault="00C40BEE" w:rsidP="00C40BEE">
      <w:r>
        <w:t>Depository Services: ACS &amp; EUUT-compliant depository oversight, including cash monitoring, ownership verification, and regulatory reporting.</w:t>
      </w:r>
    </w:p>
    <w:p w14:paraId="04D5E71C" w14:textId="77777777" w:rsidR="00C40BEE" w:rsidRDefault="00C40BEE" w:rsidP="00C40BEE"/>
    <w:p w14:paraId="1D0FCEB4" w14:textId="77777777" w:rsidR="00C40BEE" w:rsidRDefault="00C40BEE" w:rsidP="00C40BEE">
      <w:r>
        <w:t>Transfer Agency: Maintenance of investor registers, processing of investor activity, AML/KYC checks, and generation of investor confirmations and statements.</w:t>
      </w:r>
    </w:p>
    <w:p w14:paraId="02798558" w14:textId="77777777" w:rsidR="00C40BEE" w:rsidRDefault="00C40BEE" w:rsidP="00C40BEE"/>
    <w:p w14:paraId="0AFD2C0E" w14:textId="77777777" w:rsidR="00C40BEE" w:rsidRDefault="00C40BEE" w:rsidP="00C40BEE">
      <w:r>
        <w:t>Investment Operations Support: Cashflow management, reconciliation oversight, settlement instruction coordination, and support for fund launches or mandate changes.</w:t>
      </w:r>
    </w:p>
    <w:p w14:paraId="2D8FD993" w14:textId="77777777" w:rsidR="00C40BEE" w:rsidRDefault="00C40BEE" w:rsidP="00C40BEE"/>
    <w:p w14:paraId="0B1BFC9D" w14:textId="029AA7A0" w:rsidR="002D4CA0" w:rsidRDefault="00C40BEE" w:rsidP="00C40BEE">
      <w:r>
        <w:t>Withholding Tax Services: End-to-end support including documentation, relief at source where applicable, and reclaim processing across multiple jurisdictions.</w:t>
      </w:r>
    </w:p>
    <w:p w14:paraId="4BB6BAF9" w14:textId="77777777" w:rsidR="002D4CA0" w:rsidRDefault="002D4CA0" w:rsidP="002D4CA0"/>
    <w:p w14:paraId="3C2FB52E" w14:textId="77777777" w:rsidR="002D4CA0" w:rsidRDefault="002D4CA0" w:rsidP="002D4CA0">
      <w:r>
        <w:t>This Lot is expected to go live on or around 1 January 2026, subject to the completion of transition and onboarding.</w:t>
      </w:r>
    </w:p>
    <w:p w14:paraId="0D466D92" w14:textId="77777777" w:rsidR="002D4CA0" w:rsidRDefault="002D4CA0" w:rsidP="002D4CA0"/>
    <w:p w14:paraId="25F4FCA9" w14:textId="77777777" w:rsidR="009A43D5" w:rsidRDefault="009A43D5" w:rsidP="009A43D5">
      <w:r>
        <w:lastRenderedPageBreak/>
        <w:t>Lot 2 comprises client-facing reporting and oversight services to support transparency, engagement, and governance with London CIV’s underlying clients. This Lot includes the production of standardised client reports, the integration of data sources and systems to enable reporting automation, and the provision of dashboards and oversight tools that facilitate monitoring of service performance.</w:t>
      </w:r>
    </w:p>
    <w:p w14:paraId="428DA215" w14:textId="77777777" w:rsidR="009A43D5" w:rsidRDefault="009A43D5" w:rsidP="009A43D5"/>
    <w:p w14:paraId="4E8FCC6E" w14:textId="77777777" w:rsidR="009A43D5" w:rsidRDefault="009A43D5" w:rsidP="009A43D5">
      <w:r>
        <w:t>The services in scope include:</w:t>
      </w:r>
    </w:p>
    <w:p w14:paraId="7DA278C4" w14:textId="77777777" w:rsidR="009A43D5" w:rsidRDefault="009A43D5" w:rsidP="009A43D5"/>
    <w:p w14:paraId="5CFFEB1E" w14:textId="77777777" w:rsidR="009A43D5" w:rsidRDefault="009A43D5" w:rsidP="009A43D5">
      <w:r>
        <w:t>Client Reporting: Delivery of accurate, timely, and relevant client reports across all fund types, investment strategies, and asset classes. This includes monthly, quarterly, and annual reporting as well as ad hoc reporting where required.</w:t>
      </w:r>
    </w:p>
    <w:p w14:paraId="60EBB7BC" w14:textId="77777777" w:rsidR="009A43D5" w:rsidRDefault="009A43D5" w:rsidP="009A43D5"/>
    <w:p w14:paraId="4DF49F55" w14:textId="77777777" w:rsidR="009A43D5" w:rsidRDefault="009A43D5" w:rsidP="009A43D5">
      <w:r>
        <w:t>Data Integration: The ability to ingest, transform, and reconcile data from custodians, fund administrators, investment managers, and internal sources to populate reports.</w:t>
      </w:r>
    </w:p>
    <w:p w14:paraId="3C915945" w14:textId="77777777" w:rsidR="009A43D5" w:rsidRDefault="009A43D5" w:rsidP="009A43D5"/>
    <w:p w14:paraId="2F1A7A4B" w14:textId="77777777" w:rsidR="009A43D5" w:rsidRDefault="009A43D5" w:rsidP="009A43D5">
      <w:r>
        <w:t>Reporting Flexibility: Capacity to evolve formats, content, and reporting frequencies to meet emerging stakeholder needs.</w:t>
      </w:r>
    </w:p>
    <w:p w14:paraId="25D25B00" w14:textId="77777777" w:rsidR="009A43D5" w:rsidRDefault="009A43D5" w:rsidP="009A43D5"/>
    <w:p w14:paraId="11F9DAFB" w14:textId="77777777" w:rsidR="009A43D5" w:rsidRDefault="009A43D5" w:rsidP="009A43D5">
      <w:r>
        <w:t>Oversight Tools: Dashboards, issue logs, and service monitoring tools to support day-to-day operations and service reviews.</w:t>
      </w:r>
    </w:p>
    <w:p w14:paraId="395289B4" w14:textId="77777777" w:rsidR="009A43D5" w:rsidRDefault="009A43D5" w:rsidP="009A43D5"/>
    <w:p w14:paraId="7FC205B5" w14:textId="4C0BEEB2" w:rsidR="002D4CA0" w:rsidRDefault="009A43D5" w:rsidP="009A43D5">
      <w:r>
        <w:t>This Lot is expected to go live on or around 1 January 2026</w:t>
      </w:r>
      <w:r w:rsidR="00C40BEE">
        <w:t>, subject to the completion of transition and onboarding.</w:t>
      </w:r>
    </w:p>
    <w:p w14:paraId="5161ECC0" w14:textId="77777777" w:rsidR="002D4CA0" w:rsidRDefault="002D4CA0" w:rsidP="002D4CA0"/>
    <w:p w14:paraId="34C463FB" w14:textId="77777777" w:rsidR="002D4CA0" w:rsidRDefault="002D4CA0" w:rsidP="002D4CA0">
      <w:r>
        <w:t>Lot 3 – Ancillary Services</w:t>
      </w:r>
    </w:p>
    <w:p w14:paraId="6D3C730A" w14:textId="413448D5" w:rsidR="002D4CA0" w:rsidRDefault="002D4CA0" w:rsidP="002D4CA0">
      <w:r>
        <w:t xml:space="preserve">This Lot includes a group of additional operational services that the Authority may wish to </w:t>
      </w:r>
      <w:r w:rsidR="003831AE">
        <w:t>implement</w:t>
      </w:r>
      <w:r>
        <w:t xml:space="preserve"> in future, subject to internal strategy and operating model decisions. The services </w:t>
      </w:r>
      <w:r w:rsidR="00962E5B">
        <w:t xml:space="preserve">potentially </w:t>
      </w:r>
      <w:r>
        <w:t>in scope include:</w:t>
      </w:r>
    </w:p>
    <w:p w14:paraId="43164530" w14:textId="77777777" w:rsidR="002D4CA0" w:rsidRDefault="002D4CA0" w:rsidP="002D4CA0"/>
    <w:p w14:paraId="35A75E4D" w14:textId="4F10BC25" w:rsidR="002D11FD" w:rsidRDefault="002D11FD" w:rsidP="002D11FD">
      <w:r>
        <w:t>Performance Measurement &amp; Attribution: Calculation and reporting of investment performance metrics across Public and Private Market funds, mandates, and asset classes; including absolute, relative, and risk-adjusted returns and multi-level attribution.</w:t>
      </w:r>
    </w:p>
    <w:p w14:paraId="70D9920D" w14:textId="77777777" w:rsidR="002D11FD" w:rsidRDefault="002D11FD" w:rsidP="002D11FD"/>
    <w:p w14:paraId="1D0D5336" w14:textId="65C4F402" w:rsidR="002D4CA0" w:rsidRDefault="002D11FD" w:rsidP="002D11FD">
      <w:r>
        <w:t>Fund Compliance &amp; Breach Monitoring: Ongoing monitoring of fund-specific investment guidelines, regulatory constraints, and mandate compliance.</w:t>
      </w:r>
    </w:p>
    <w:p w14:paraId="233E0B7F" w14:textId="77777777" w:rsidR="002D4CA0" w:rsidRDefault="002D4CA0" w:rsidP="002D4CA0"/>
    <w:p w14:paraId="1E4BDF8E" w14:textId="77777777" w:rsidR="002D4CA0" w:rsidRDefault="002D4CA0" w:rsidP="002D4CA0">
      <w:r>
        <w:t>Lot 3 will be competitively tendered under this procurement, but no commitment is made at this stage regarding its implementation. Suppliers are invited to submit proposals, but any award will be subject to further assessment of need and available resources.</w:t>
      </w:r>
    </w:p>
    <w:p w14:paraId="5FCC0AF3" w14:textId="77777777" w:rsidR="002D4CA0" w:rsidRDefault="002D4CA0" w:rsidP="002D4CA0"/>
    <w:p w14:paraId="31CCE73E" w14:textId="77777777" w:rsidR="002D4CA0" w:rsidRDefault="002D4CA0" w:rsidP="002D4CA0">
      <w:r>
        <w:t>Implementation and Transition Expectations</w:t>
      </w:r>
    </w:p>
    <w:p w14:paraId="13CFC710" w14:textId="64373EC0" w:rsidR="00D13322" w:rsidRDefault="002D4CA0" w:rsidP="00FC073A">
      <w:r>
        <w:t>For any Lots awarded, the Supplier</w:t>
      </w:r>
      <w:r w:rsidR="00617C24">
        <w:t>(s)</w:t>
      </w:r>
      <w:r>
        <w:t xml:space="preserve"> will be expected to engage with the Authority promptly following </w:t>
      </w:r>
      <w:r w:rsidR="00FE5D9B">
        <w:t xml:space="preserve">notification of </w:t>
      </w:r>
      <w:r>
        <w:t xml:space="preserve">contract </w:t>
      </w:r>
      <w:r w:rsidR="00FE5D9B">
        <w:t xml:space="preserve">award </w:t>
      </w:r>
      <w:r>
        <w:t>to agree a detailed mobilisation and implementation plan</w:t>
      </w:r>
      <w:r w:rsidR="00FE5D9B">
        <w:t xml:space="preserve"> prior to contract signature</w:t>
      </w:r>
      <w:r>
        <w:t>. This will include transition timelines, data and system readiness, regulatory considerations, and resourcing commitments. The Authority expects that implementation planning will begin during the standstill period and that all awarded services (except Lot 3, where relevant) will be operational by 1 January 2026. Suppliers should be prepared to collaborate closely with incumbent providers, internal stakeholders, and third parties to ensure a seamless transition with minimal service disruption.</w:t>
      </w:r>
    </w:p>
    <w:p w14:paraId="251463FE" w14:textId="034A3E16" w:rsidR="00D13322" w:rsidRDefault="43260996" w:rsidP="008A598A">
      <w:pPr>
        <w:pStyle w:val="Heading1"/>
        <w:numPr>
          <w:ilvl w:val="0"/>
          <w:numId w:val="0"/>
        </w:numPr>
        <w:jc w:val="both"/>
      </w:pPr>
      <w:bookmarkStart w:id="6" w:name="_Toc201061292"/>
      <w:r>
        <w:lastRenderedPageBreak/>
        <w:t xml:space="preserve">5. </w:t>
      </w:r>
      <w:r w:rsidR="002107B6">
        <w:t>Preliminary market engagement</w:t>
      </w:r>
      <w:bookmarkEnd w:id="6"/>
    </w:p>
    <w:p w14:paraId="02AA720E" w14:textId="7EF80CDC" w:rsidR="00D13322" w:rsidRDefault="00DD5960" w:rsidP="31758B17">
      <w:pPr>
        <w:pStyle w:val="Normal1"/>
        <w:spacing w:line="360" w:lineRule="auto"/>
        <w:jc w:val="both"/>
        <w:rPr>
          <w:rFonts w:asciiTheme="minorHAnsi" w:eastAsiaTheme="minorEastAsia" w:hAnsiTheme="minorHAnsi" w:cstheme="minorBidi"/>
        </w:rPr>
      </w:pPr>
      <w:bookmarkStart w:id="7" w:name="_Toc167865316"/>
      <w:r w:rsidRPr="31758B17">
        <w:rPr>
          <w:rFonts w:asciiTheme="minorHAnsi" w:eastAsiaTheme="minorEastAsia" w:hAnsiTheme="minorHAnsi" w:cstheme="minorBidi"/>
        </w:rPr>
        <w:t xml:space="preserve">We believe we understand our market adequately and </w:t>
      </w:r>
      <w:r w:rsidR="0096748C" w:rsidRPr="31758B17">
        <w:rPr>
          <w:rFonts w:asciiTheme="minorHAnsi" w:eastAsiaTheme="minorEastAsia" w:hAnsiTheme="minorHAnsi" w:cstheme="minorBidi"/>
        </w:rPr>
        <w:t>no PME was deemed to be necessary.</w:t>
      </w:r>
    </w:p>
    <w:p w14:paraId="0CFE456B" w14:textId="4469B9E2" w:rsidR="00D13322" w:rsidRDefault="1E667A27" w:rsidP="00C14783">
      <w:pPr>
        <w:pStyle w:val="Heading1"/>
        <w:numPr>
          <w:ilvl w:val="0"/>
          <w:numId w:val="0"/>
        </w:numPr>
        <w:ind w:hanging="357"/>
        <w:rPr>
          <w:rFonts w:eastAsiaTheme="minorEastAsia" w:cstheme="minorBidi"/>
        </w:rPr>
      </w:pPr>
      <w:bookmarkStart w:id="8" w:name="_Toc201061293"/>
      <w:r>
        <w:lastRenderedPageBreak/>
        <w:t xml:space="preserve">6. </w:t>
      </w:r>
      <w:bookmarkEnd w:id="7"/>
      <w:r w:rsidR="002107B6">
        <w:t>The Procurement process</w:t>
      </w:r>
      <w:bookmarkEnd w:id="8"/>
    </w:p>
    <w:p w14:paraId="54762D8A" w14:textId="1EED9005" w:rsidR="006F6101" w:rsidRPr="003E51E7" w:rsidRDefault="006F6101" w:rsidP="00A91834">
      <w:pPr>
        <w:pStyle w:val="Normal1"/>
        <w:spacing w:before="120" w:after="120" w:line="360" w:lineRule="auto"/>
        <w:ind w:left="-284"/>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The procurement will be structured into two key stages</w:t>
      </w:r>
      <w:r w:rsidR="09D0F031" w:rsidRPr="7C92C8FB">
        <w:rPr>
          <w:rFonts w:asciiTheme="minorHAnsi" w:eastAsiaTheme="minorEastAsia" w:hAnsiTheme="minorHAnsi" w:cstheme="minorBidi"/>
          <w:color w:val="auto"/>
        </w:rPr>
        <w:t xml:space="preserve"> </w:t>
      </w:r>
      <w:r w:rsidR="6E5AA675" w:rsidRPr="7C92C8FB">
        <w:rPr>
          <w:rFonts w:asciiTheme="minorHAnsi" w:eastAsiaTheme="minorEastAsia" w:hAnsiTheme="minorHAnsi" w:cstheme="minorBidi"/>
          <w:color w:val="auto"/>
        </w:rPr>
        <w:t>followed by</w:t>
      </w:r>
      <w:r w:rsidR="09D0F031" w:rsidRPr="7C92C8FB">
        <w:rPr>
          <w:rFonts w:asciiTheme="minorHAnsi" w:eastAsiaTheme="minorEastAsia" w:hAnsiTheme="minorHAnsi" w:cstheme="minorBidi"/>
          <w:color w:val="auto"/>
        </w:rPr>
        <w:t xml:space="preserve"> an award stage</w:t>
      </w:r>
      <w:r w:rsidRPr="7C92C8FB">
        <w:rPr>
          <w:rFonts w:asciiTheme="minorHAnsi" w:eastAsiaTheme="minorEastAsia" w:hAnsiTheme="minorHAnsi" w:cstheme="minorBidi"/>
          <w:color w:val="auto"/>
        </w:rPr>
        <w:t>:</w:t>
      </w:r>
    </w:p>
    <w:p w14:paraId="3E8446D3" w14:textId="4130579D" w:rsidR="75D82C93" w:rsidRDefault="75D82C93" w:rsidP="00A91834">
      <w:pPr>
        <w:pStyle w:val="Normal1"/>
        <w:spacing w:before="120" w:after="120" w:line="360" w:lineRule="auto"/>
        <w:ind w:left="-284"/>
        <w:contextualSpacing/>
        <w:jc w:val="both"/>
        <w:rPr>
          <w:rFonts w:asciiTheme="minorHAnsi" w:eastAsiaTheme="minorEastAsia" w:hAnsiTheme="minorHAnsi" w:cstheme="minorBidi"/>
          <w:color w:val="auto"/>
        </w:rPr>
      </w:pPr>
    </w:p>
    <w:p w14:paraId="54BDE05F" w14:textId="77777777" w:rsidR="006F6101" w:rsidRPr="00066D94" w:rsidRDefault="006F6101"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t>Stage 1: Selection</w:t>
      </w:r>
    </w:p>
    <w:p w14:paraId="1355832B" w14:textId="17E0AD92" w:rsidR="006F6101" w:rsidRPr="00066D9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 xml:space="preserve">Applicants who have expressed an interest in </w:t>
      </w:r>
      <w:r w:rsidR="004E0A78">
        <w:rPr>
          <w:rFonts w:asciiTheme="minorHAnsi" w:eastAsiaTheme="minorEastAsia" w:hAnsiTheme="minorHAnsi" w:cstheme="minorBidi"/>
          <w:color w:val="auto"/>
        </w:rPr>
        <w:t xml:space="preserve">one or more lots of </w:t>
      </w:r>
      <w:r w:rsidRPr="7C92C8FB">
        <w:rPr>
          <w:rFonts w:asciiTheme="minorHAnsi" w:eastAsiaTheme="minorEastAsia" w:hAnsiTheme="minorHAnsi" w:cstheme="minorBidi"/>
          <w:color w:val="auto"/>
        </w:rPr>
        <w:t>the procurement will need to pre-qualify and must complete the P</w:t>
      </w:r>
      <w:r w:rsidR="00AA0D12" w:rsidRPr="7C92C8FB">
        <w:rPr>
          <w:rFonts w:asciiTheme="minorHAnsi" w:eastAsiaTheme="minorEastAsia" w:hAnsiTheme="minorHAnsi" w:cstheme="minorBidi"/>
          <w:color w:val="auto"/>
        </w:rPr>
        <w:t xml:space="preserve">rocurement </w:t>
      </w:r>
      <w:r w:rsidRPr="7C92C8FB">
        <w:rPr>
          <w:rFonts w:asciiTheme="minorHAnsi" w:eastAsiaTheme="minorEastAsia" w:hAnsiTheme="minorHAnsi" w:cstheme="minorBidi"/>
          <w:color w:val="auto"/>
        </w:rPr>
        <w:t>S</w:t>
      </w:r>
      <w:r w:rsidR="00AA0D12" w:rsidRPr="7C92C8FB">
        <w:rPr>
          <w:rFonts w:asciiTheme="minorHAnsi" w:eastAsiaTheme="minorEastAsia" w:hAnsiTheme="minorHAnsi" w:cstheme="minorBidi"/>
          <w:color w:val="auto"/>
        </w:rPr>
        <w:t>pecific Questionnaire (PSQ)</w:t>
      </w:r>
      <w:r w:rsidR="007004F8" w:rsidRPr="7C92C8FB">
        <w:rPr>
          <w:rFonts w:asciiTheme="minorHAnsi" w:eastAsiaTheme="minorEastAsia" w:hAnsiTheme="minorHAnsi" w:cstheme="minorBidi"/>
          <w:color w:val="auto"/>
        </w:rPr>
        <w:t xml:space="preserve"> and have registered their details on the Central Digital Portal (CDP) within </w:t>
      </w:r>
      <w:r w:rsidR="006376AF" w:rsidRPr="7C92C8FB">
        <w:rPr>
          <w:rFonts w:asciiTheme="minorHAnsi" w:eastAsiaTheme="minorEastAsia" w:hAnsiTheme="minorHAnsi" w:cstheme="minorBidi"/>
          <w:color w:val="auto"/>
        </w:rPr>
        <w:t xml:space="preserve">the </w:t>
      </w:r>
      <w:r w:rsidR="007004F8" w:rsidRPr="7C92C8FB">
        <w:rPr>
          <w:rFonts w:asciiTheme="minorHAnsi" w:eastAsiaTheme="minorEastAsia" w:hAnsiTheme="minorHAnsi" w:cstheme="minorBidi"/>
          <w:color w:val="auto"/>
        </w:rPr>
        <w:t>Find a Tender</w:t>
      </w:r>
      <w:r w:rsidR="006376AF" w:rsidRPr="7C92C8FB">
        <w:rPr>
          <w:rFonts w:asciiTheme="minorHAnsi" w:eastAsiaTheme="minorEastAsia" w:hAnsiTheme="minorHAnsi" w:cstheme="minorBidi"/>
          <w:color w:val="auto"/>
        </w:rPr>
        <w:t xml:space="preserve"> porta</w:t>
      </w:r>
      <w:r w:rsidR="008C2C8C" w:rsidRPr="7C92C8FB">
        <w:rPr>
          <w:rFonts w:asciiTheme="minorHAnsi" w:eastAsiaTheme="minorEastAsia" w:hAnsiTheme="minorHAnsi" w:cstheme="minorBidi"/>
          <w:color w:val="auto"/>
        </w:rPr>
        <w:t>l</w:t>
      </w:r>
      <w:r w:rsidR="006376AF" w:rsidRPr="7C92C8FB">
        <w:rPr>
          <w:rFonts w:asciiTheme="minorHAnsi" w:eastAsiaTheme="minorEastAsia" w:hAnsiTheme="minorHAnsi" w:cstheme="minorBidi"/>
          <w:color w:val="auto"/>
        </w:rPr>
        <w:t>.</w:t>
      </w:r>
    </w:p>
    <w:p w14:paraId="5295B640" w14:textId="340D718B" w:rsidR="006F6101" w:rsidRPr="00066D9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The PS</w:t>
      </w:r>
      <w:r w:rsidR="00AA0D12" w:rsidRPr="7C92C8FB">
        <w:rPr>
          <w:rFonts w:asciiTheme="minorHAnsi" w:eastAsiaTheme="minorEastAsia" w:hAnsiTheme="minorHAnsi" w:cstheme="minorBidi"/>
          <w:color w:val="auto"/>
        </w:rPr>
        <w:t>Q</w:t>
      </w:r>
      <w:r w:rsidRPr="7C92C8FB">
        <w:rPr>
          <w:rFonts w:asciiTheme="minorHAnsi" w:eastAsiaTheme="minorEastAsia" w:hAnsiTheme="minorHAnsi" w:cstheme="minorBidi"/>
          <w:color w:val="auto"/>
        </w:rPr>
        <w:t xml:space="preserve"> sets out the information required by the authority in order to assess the suitability of applicants to perform the Services as well as their economic and financial standing and technical and professional ability.</w:t>
      </w:r>
      <w:r w:rsidR="007C635E">
        <w:rPr>
          <w:rFonts w:asciiTheme="minorHAnsi" w:eastAsiaTheme="minorEastAsia" w:hAnsiTheme="minorHAnsi" w:cstheme="minorBidi"/>
          <w:color w:val="auto"/>
        </w:rPr>
        <w:t xml:space="preserve"> In preparing your application, you need to consider the questions listed in this document and the requirements detailed.</w:t>
      </w:r>
    </w:p>
    <w:p w14:paraId="547DA6D7" w14:textId="7EA88A69" w:rsidR="006F6101" w:rsidRPr="00066D94" w:rsidRDefault="004E0A78"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Pr>
          <w:rFonts w:asciiTheme="minorHAnsi" w:eastAsiaTheme="minorEastAsia" w:hAnsiTheme="minorHAnsi" w:cstheme="minorBidi"/>
          <w:color w:val="auto"/>
        </w:rPr>
        <w:t xml:space="preserve">Post the PSQ phase, </w:t>
      </w:r>
      <w:r w:rsidR="006F6101" w:rsidRPr="7C92C8FB">
        <w:rPr>
          <w:rFonts w:asciiTheme="minorHAnsi" w:eastAsiaTheme="minorEastAsia" w:hAnsiTheme="minorHAnsi" w:cstheme="minorBidi"/>
          <w:color w:val="auto"/>
        </w:rPr>
        <w:t>Tenders will be evaluated based on the bidder’s written submission and proof of concept presentations.</w:t>
      </w:r>
    </w:p>
    <w:p w14:paraId="73766E07" w14:textId="2ABCEF42" w:rsidR="006F6101" w:rsidRDefault="278159E8" w:rsidP="105ACF6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105ACF64">
        <w:rPr>
          <w:rFonts w:asciiTheme="minorHAnsi" w:eastAsiaTheme="minorEastAsia" w:hAnsiTheme="minorHAnsi" w:cstheme="minorBidi"/>
          <w:color w:val="auto"/>
        </w:rPr>
        <w:t>LCIV reserves the right to limit the number of applicants that are invited to Stage 2 of the procurement</w:t>
      </w:r>
      <w:r w:rsidR="498FDEA2" w:rsidRPr="105ACF64">
        <w:rPr>
          <w:rFonts w:asciiTheme="minorHAnsi" w:eastAsiaTheme="minorEastAsia" w:hAnsiTheme="minorHAnsi" w:cstheme="minorBidi"/>
          <w:color w:val="auto"/>
        </w:rPr>
        <w:t>. It is anticipated that Lot 1 will be limited</w:t>
      </w:r>
      <w:r w:rsidRPr="105ACF64">
        <w:rPr>
          <w:rFonts w:asciiTheme="minorHAnsi" w:eastAsiaTheme="minorEastAsia" w:hAnsiTheme="minorHAnsi" w:cstheme="minorBidi"/>
          <w:color w:val="auto"/>
        </w:rPr>
        <w:t xml:space="preserve"> to no more than</w:t>
      </w:r>
      <w:r w:rsidR="4F1461A3" w:rsidRPr="105ACF64">
        <w:rPr>
          <w:rFonts w:asciiTheme="minorHAnsi" w:eastAsiaTheme="minorEastAsia" w:hAnsiTheme="minorHAnsi" w:cstheme="minorBidi"/>
          <w:color w:val="auto"/>
        </w:rPr>
        <w:t xml:space="preserve"> </w:t>
      </w:r>
      <w:r w:rsidR="4559266C" w:rsidRPr="105ACF64">
        <w:rPr>
          <w:rFonts w:asciiTheme="minorHAnsi" w:eastAsiaTheme="minorEastAsia" w:hAnsiTheme="minorHAnsi" w:cstheme="minorBidi"/>
          <w:color w:val="auto"/>
        </w:rPr>
        <w:t>3</w:t>
      </w:r>
      <w:r w:rsidRPr="105ACF64">
        <w:rPr>
          <w:rFonts w:asciiTheme="minorHAnsi" w:eastAsiaTheme="minorEastAsia" w:hAnsiTheme="minorHAnsi" w:cstheme="minorBidi"/>
          <w:color w:val="auto"/>
        </w:rPr>
        <w:t xml:space="preserve"> that have received the highest scores </w:t>
      </w:r>
      <w:r w:rsidR="720EB968" w:rsidRPr="105ACF64">
        <w:rPr>
          <w:rFonts w:asciiTheme="minorHAnsi" w:eastAsiaTheme="minorEastAsia" w:hAnsiTheme="minorHAnsi" w:cstheme="minorBidi"/>
          <w:color w:val="auto"/>
        </w:rPr>
        <w:t>after scoring</w:t>
      </w:r>
      <w:r w:rsidRPr="105ACF64">
        <w:rPr>
          <w:rFonts w:asciiTheme="minorHAnsi" w:eastAsiaTheme="minorEastAsia" w:hAnsiTheme="minorHAnsi" w:cstheme="minorBidi"/>
          <w:color w:val="auto"/>
        </w:rPr>
        <w:t xml:space="preserve"> of the PS</w:t>
      </w:r>
      <w:r w:rsidR="414B69D9" w:rsidRPr="105ACF64">
        <w:rPr>
          <w:rFonts w:asciiTheme="minorHAnsi" w:eastAsiaTheme="minorEastAsia" w:hAnsiTheme="minorHAnsi" w:cstheme="minorBidi"/>
          <w:color w:val="auto"/>
        </w:rPr>
        <w:t>Q</w:t>
      </w:r>
      <w:r w:rsidR="2B322BC6" w:rsidRPr="105ACF64">
        <w:rPr>
          <w:rFonts w:asciiTheme="minorHAnsi" w:eastAsiaTheme="minorEastAsia" w:hAnsiTheme="minorHAnsi" w:cstheme="minorBidi"/>
          <w:color w:val="auto"/>
        </w:rPr>
        <w:t>. Lot</w:t>
      </w:r>
      <w:r w:rsidR="13EDDC3A" w:rsidRPr="105ACF64">
        <w:rPr>
          <w:rFonts w:asciiTheme="minorHAnsi" w:eastAsiaTheme="minorEastAsia" w:hAnsiTheme="minorHAnsi" w:cstheme="minorBidi"/>
          <w:color w:val="auto"/>
        </w:rPr>
        <w:t>s</w:t>
      </w:r>
      <w:r w:rsidR="2B322BC6" w:rsidRPr="105ACF64">
        <w:rPr>
          <w:rFonts w:asciiTheme="minorHAnsi" w:eastAsiaTheme="minorEastAsia" w:hAnsiTheme="minorHAnsi" w:cstheme="minorBidi"/>
          <w:color w:val="auto"/>
        </w:rPr>
        <w:t xml:space="preserve"> 2</w:t>
      </w:r>
      <w:r w:rsidR="13EDDC3A" w:rsidRPr="105ACF64">
        <w:rPr>
          <w:rFonts w:asciiTheme="minorHAnsi" w:eastAsiaTheme="minorEastAsia" w:hAnsiTheme="minorHAnsi" w:cstheme="minorBidi"/>
          <w:color w:val="auto"/>
        </w:rPr>
        <w:t xml:space="preserve"> and 3</w:t>
      </w:r>
      <w:r w:rsidR="2B322BC6" w:rsidRPr="105ACF64">
        <w:rPr>
          <w:rFonts w:asciiTheme="minorHAnsi" w:eastAsiaTheme="minorEastAsia" w:hAnsiTheme="minorHAnsi" w:cstheme="minorBidi"/>
          <w:color w:val="auto"/>
        </w:rPr>
        <w:t xml:space="preserve"> will be limited to </w:t>
      </w:r>
      <w:r w:rsidR="6F71704C" w:rsidRPr="105ACF64">
        <w:rPr>
          <w:rFonts w:asciiTheme="minorHAnsi" w:eastAsiaTheme="minorEastAsia" w:hAnsiTheme="minorHAnsi" w:cstheme="minorBidi"/>
          <w:color w:val="auto"/>
        </w:rPr>
        <w:t xml:space="preserve">those invited to </w:t>
      </w:r>
      <w:proofErr w:type="spellStart"/>
      <w:r w:rsidR="6F71704C" w:rsidRPr="105ACF64">
        <w:rPr>
          <w:rFonts w:asciiTheme="minorHAnsi" w:eastAsiaTheme="minorEastAsia" w:hAnsiTheme="minorHAnsi" w:cstheme="minorBidi"/>
          <w:color w:val="auto"/>
        </w:rPr>
        <w:t>to</w:t>
      </w:r>
      <w:proofErr w:type="spellEnd"/>
      <w:r w:rsidR="6F71704C" w:rsidRPr="105ACF64">
        <w:rPr>
          <w:rFonts w:asciiTheme="minorHAnsi" w:eastAsiaTheme="minorEastAsia" w:hAnsiTheme="minorHAnsi" w:cstheme="minorBidi"/>
          <w:color w:val="auto"/>
        </w:rPr>
        <w:t xml:space="preserve"> Stage 2 of Lot 1 </w:t>
      </w:r>
      <w:r w:rsidR="7850D125" w:rsidRPr="105ACF64">
        <w:rPr>
          <w:rFonts w:asciiTheme="minorHAnsi" w:eastAsiaTheme="minorEastAsia" w:hAnsiTheme="minorHAnsi" w:cstheme="minorBidi"/>
          <w:color w:val="auto"/>
        </w:rPr>
        <w:t>and no more than 2 others that have received the highest scores after scoring of the PSQ</w:t>
      </w:r>
      <w:r w:rsidRPr="105ACF64">
        <w:rPr>
          <w:rFonts w:asciiTheme="minorHAnsi" w:eastAsiaTheme="minorEastAsia" w:hAnsiTheme="minorHAnsi" w:cstheme="minorBidi"/>
          <w:color w:val="auto"/>
        </w:rPr>
        <w:t>.</w:t>
      </w:r>
      <w:r w:rsidR="7850D125" w:rsidRPr="105ACF64">
        <w:rPr>
          <w:rFonts w:asciiTheme="minorHAnsi" w:eastAsiaTheme="minorEastAsia" w:hAnsiTheme="minorHAnsi" w:cstheme="minorBidi"/>
          <w:color w:val="auto"/>
        </w:rPr>
        <w:t xml:space="preserve"> </w:t>
      </w:r>
      <w:r w:rsidRPr="105ACF64">
        <w:rPr>
          <w:rFonts w:asciiTheme="minorHAnsi" w:eastAsiaTheme="minorEastAsia" w:hAnsiTheme="minorHAnsi" w:cstheme="minorBidi"/>
          <w:color w:val="auto"/>
        </w:rPr>
        <w:t xml:space="preserve"> </w:t>
      </w:r>
    </w:p>
    <w:p w14:paraId="21680046" w14:textId="77777777" w:rsidR="006F6101" w:rsidRPr="00066D94" w:rsidRDefault="006F6101" w:rsidP="00A91834">
      <w:pPr>
        <w:pStyle w:val="Normal1"/>
        <w:spacing w:before="120" w:after="120" w:line="360" w:lineRule="auto"/>
        <w:ind w:left="-1004"/>
        <w:contextualSpacing/>
        <w:jc w:val="both"/>
        <w:rPr>
          <w:rFonts w:asciiTheme="minorHAnsi" w:eastAsiaTheme="minorEastAsia" w:hAnsiTheme="minorHAnsi" w:cstheme="minorBidi"/>
          <w:color w:val="auto"/>
        </w:rPr>
      </w:pPr>
    </w:p>
    <w:p w14:paraId="2DDF4F7A" w14:textId="3D9D318A" w:rsidR="006F6101" w:rsidRPr="00066D94" w:rsidRDefault="006F6101"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t xml:space="preserve">Stage 2: Tender </w:t>
      </w:r>
      <w:r w:rsidR="48B36768" w:rsidRPr="7C92C8FB">
        <w:rPr>
          <w:rFonts w:asciiTheme="minorHAnsi" w:eastAsiaTheme="minorEastAsia" w:hAnsiTheme="minorHAnsi" w:cstheme="minorBidi"/>
          <w:b/>
          <w:color w:val="auto"/>
        </w:rPr>
        <w:t>Stage</w:t>
      </w:r>
    </w:p>
    <w:p w14:paraId="6AF8D130" w14:textId="57B5F56B" w:rsidR="006F6101"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00A91834">
        <w:rPr>
          <w:rFonts w:asciiTheme="minorHAnsi" w:eastAsiaTheme="minorEastAsia" w:hAnsiTheme="minorHAnsi" w:cstheme="minorBidi"/>
          <w:color w:val="auto"/>
        </w:rPr>
        <w:t xml:space="preserve">The Authority will issue an </w:t>
      </w:r>
      <w:r w:rsidR="000D7F74" w:rsidRPr="00A91834">
        <w:rPr>
          <w:rFonts w:asciiTheme="minorHAnsi" w:eastAsiaTheme="minorEastAsia" w:hAnsiTheme="minorHAnsi" w:cstheme="minorBidi"/>
          <w:color w:val="auto"/>
        </w:rPr>
        <w:t>IT</w:t>
      </w:r>
      <w:r w:rsidR="000D7F74">
        <w:rPr>
          <w:rFonts w:asciiTheme="minorHAnsi" w:eastAsiaTheme="minorEastAsia" w:hAnsiTheme="minorHAnsi" w:cstheme="minorBidi"/>
          <w:color w:val="auto"/>
        </w:rPr>
        <w:t>N</w:t>
      </w:r>
      <w:r w:rsidR="000D7F74" w:rsidRPr="00A91834">
        <w:rPr>
          <w:rFonts w:asciiTheme="minorHAnsi" w:eastAsiaTheme="minorEastAsia" w:hAnsiTheme="minorHAnsi" w:cstheme="minorBidi"/>
          <w:color w:val="auto"/>
        </w:rPr>
        <w:t xml:space="preserve"> </w:t>
      </w:r>
      <w:r w:rsidRPr="00A91834">
        <w:rPr>
          <w:rFonts w:asciiTheme="minorHAnsi" w:eastAsiaTheme="minorEastAsia" w:hAnsiTheme="minorHAnsi" w:cstheme="minorBidi"/>
          <w:color w:val="auto"/>
        </w:rPr>
        <w:t>to applicants that are shortlisted to Stage 2 following the evaluation of the PS</w:t>
      </w:r>
      <w:r w:rsidR="00AA0D12" w:rsidRPr="00A91834">
        <w:rPr>
          <w:rFonts w:asciiTheme="minorHAnsi" w:eastAsiaTheme="minorEastAsia" w:hAnsiTheme="minorHAnsi" w:cstheme="minorBidi"/>
          <w:color w:val="auto"/>
        </w:rPr>
        <w:t>Q</w:t>
      </w:r>
      <w:r w:rsidRPr="00A91834">
        <w:rPr>
          <w:rFonts w:asciiTheme="minorHAnsi" w:eastAsiaTheme="minorEastAsia" w:hAnsiTheme="minorHAnsi" w:cstheme="minorBidi"/>
          <w:color w:val="auto"/>
        </w:rPr>
        <w:t xml:space="preserve"> responses.</w:t>
      </w:r>
    </w:p>
    <w:p w14:paraId="6F4CBEB8" w14:textId="77777777" w:rsidR="00431CD2" w:rsidRDefault="00431CD2" w:rsidP="00431CD2">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Tenders will be evaluated based on the bidder’s written submission and proof of concept presentations.</w:t>
      </w:r>
    </w:p>
    <w:p w14:paraId="7D63539F" w14:textId="61A30CEC" w:rsidR="75D82C93" w:rsidRDefault="00267AB6" w:rsidP="00A91834">
      <w:pPr>
        <w:pStyle w:val="Normal1"/>
        <w:spacing w:before="120" w:after="120" w:line="360" w:lineRule="auto"/>
        <w:ind w:left="2160"/>
        <w:contextualSpacing/>
        <w:jc w:val="both"/>
        <w:rPr>
          <w:rFonts w:asciiTheme="minorHAnsi" w:eastAsiaTheme="minorEastAsia" w:hAnsiTheme="minorHAnsi" w:cstheme="minorBidi"/>
          <w:color w:val="auto"/>
        </w:rPr>
      </w:pPr>
      <w:r w:rsidRPr="00DD3358">
        <w:rPr>
          <w:rFonts w:asciiTheme="minorHAnsi" w:eastAsiaTheme="minorEastAsia" w:hAnsiTheme="minorHAnsi" w:cstheme="minorBidi"/>
          <w:color w:val="auto"/>
        </w:rPr>
        <w:t>The ITN(s) will be structured to reflect the suppliers Lot submissions post the PSQ phase</w:t>
      </w:r>
      <w:r w:rsidR="00C12354" w:rsidRPr="00DD3358">
        <w:rPr>
          <w:rFonts w:asciiTheme="minorHAnsi" w:eastAsiaTheme="minorEastAsia" w:hAnsiTheme="minorHAnsi" w:cstheme="minorBidi"/>
          <w:color w:val="auto"/>
        </w:rPr>
        <w:t>. Scoring will be conducted independently for each Lot</w:t>
      </w:r>
    </w:p>
    <w:p w14:paraId="6171FE7B" w14:textId="77777777" w:rsidR="00FC073A" w:rsidRDefault="00FC073A" w:rsidP="00A91834">
      <w:pPr>
        <w:pStyle w:val="Normal1"/>
        <w:spacing w:before="120" w:after="120" w:line="360" w:lineRule="auto"/>
        <w:ind w:left="2160"/>
        <w:contextualSpacing/>
        <w:jc w:val="both"/>
        <w:rPr>
          <w:rFonts w:asciiTheme="minorHAnsi" w:eastAsiaTheme="minorEastAsia" w:hAnsiTheme="minorHAnsi" w:cstheme="minorBidi"/>
          <w:color w:val="auto"/>
        </w:rPr>
      </w:pPr>
    </w:p>
    <w:p w14:paraId="0244C549" w14:textId="676409E1" w:rsidR="12354DB0" w:rsidRDefault="12354DB0"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lastRenderedPageBreak/>
        <w:t>Award Stage</w:t>
      </w:r>
    </w:p>
    <w:p w14:paraId="461FA0AA" w14:textId="42EE5238" w:rsidR="12354DB0" w:rsidRPr="00A91834" w:rsidRDefault="12354DB0"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00A91834">
        <w:rPr>
          <w:rFonts w:asciiTheme="minorHAnsi" w:eastAsiaTheme="minorEastAsia" w:hAnsiTheme="minorHAnsi" w:cstheme="minorBidi"/>
          <w:color w:val="auto"/>
        </w:rPr>
        <w:t xml:space="preserve">The </w:t>
      </w:r>
      <w:r w:rsidR="2E05FF47" w:rsidRPr="00A91834">
        <w:rPr>
          <w:rFonts w:asciiTheme="minorHAnsi" w:eastAsiaTheme="minorEastAsia" w:hAnsiTheme="minorHAnsi" w:cstheme="minorBidi"/>
          <w:color w:val="auto"/>
        </w:rPr>
        <w:t>successful</w:t>
      </w:r>
      <w:r w:rsidRPr="00A91834">
        <w:rPr>
          <w:rFonts w:asciiTheme="minorHAnsi" w:eastAsiaTheme="minorEastAsia" w:hAnsiTheme="minorHAnsi" w:cstheme="minorBidi"/>
          <w:color w:val="auto"/>
        </w:rPr>
        <w:t xml:space="preserve"> bidder</w:t>
      </w:r>
      <w:r w:rsidR="00C12354">
        <w:rPr>
          <w:rFonts w:asciiTheme="minorHAnsi" w:eastAsiaTheme="minorEastAsia" w:hAnsiTheme="minorHAnsi" w:cstheme="minorBidi"/>
          <w:color w:val="auto"/>
        </w:rPr>
        <w:t xml:space="preserve"> for each Lot</w:t>
      </w:r>
      <w:r w:rsidRPr="00A91834">
        <w:rPr>
          <w:rFonts w:asciiTheme="minorHAnsi" w:eastAsiaTheme="minorEastAsia" w:hAnsiTheme="minorHAnsi" w:cstheme="minorBidi"/>
          <w:color w:val="auto"/>
        </w:rPr>
        <w:t xml:space="preserve"> will be informed, </w:t>
      </w:r>
      <w:r w:rsidR="4591AADF" w:rsidRPr="00A91834">
        <w:rPr>
          <w:rFonts w:asciiTheme="minorHAnsi" w:eastAsiaTheme="minorEastAsia" w:hAnsiTheme="minorHAnsi" w:cstheme="minorBidi"/>
          <w:color w:val="auto"/>
        </w:rPr>
        <w:t>unsuccessful</w:t>
      </w:r>
      <w:r w:rsidRPr="00A91834">
        <w:rPr>
          <w:rFonts w:asciiTheme="minorHAnsi" w:eastAsiaTheme="minorEastAsia" w:hAnsiTheme="minorHAnsi" w:cstheme="minorBidi"/>
          <w:color w:val="auto"/>
        </w:rPr>
        <w:t xml:space="preserve"> bidders </w:t>
      </w:r>
      <w:proofErr w:type="gramStart"/>
      <w:r w:rsidRPr="00A91834">
        <w:rPr>
          <w:rFonts w:asciiTheme="minorHAnsi" w:eastAsiaTheme="minorEastAsia" w:hAnsiTheme="minorHAnsi" w:cstheme="minorBidi"/>
          <w:color w:val="auto"/>
        </w:rPr>
        <w:t>notified</w:t>
      </w:r>
      <w:proofErr w:type="gramEnd"/>
      <w:r w:rsidRPr="00A91834">
        <w:rPr>
          <w:rFonts w:asciiTheme="minorHAnsi" w:eastAsiaTheme="minorEastAsia" w:hAnsiTheme="minorHAnsi" w:cstheme="minorBidi"/>
          <w:color w:val="auto"/>
        </w:rPr>
        <w:t xml:space="preserve"> and, </w:t>
      </w:r>
      <w:r w:rsidR="0051320A">
        <w:rPr>
          <w:rFonts w:asciiTheme="minorHAnsi" w:eastAsiaTheme="minorEastAsia" w:hAnsiTheme="minorHAnsi" w:cstheme="minorBidi"/>
          <w:color w:val="auto"/>
        </w:rPr>
        <w:t>prior to the commencement</w:t>
      </w:r>
      <w:r w:rsidRPr="00A91834">
        <w:rPr>
          <w:rFonts w:asciiTheme="minorHAnsi" w:eastAsiaTheme="minorEastAsia" w:hAnsiTheme="minorHAnsi" w:cstheme="minorBidi"/>
          <w:color w:val="auto"/>
        </w:rPr>
        <w:t xml:space="preserve"> of the standstill period, the contract notice published.</w:t>
      </w:r>
    </w:p>
    <w:p w14:paraId="11B9C03D" w14:textId="77777777" w:rsidR="002A54DB" w:rsidRDefault="002A54DB" w:rsidP="00A91834">
      <w:pPr>
        <w:pStyle w:val="BodyText1"/>
        <w:ind w:left="357"/>
        <w:jc w:val="both"/>
      </w:pPr>
    </w:p>
    <w:p w14:paraId="1E1097A3" w14:textId="356F5124" w:rsidR="00D13322" w:rsidRDefault="178CD25B" w:rsidP="00DF644D">
      <w:pPr>
        <w:pStyle w:val="Heading1"/>
        <w:numPr>
          <w:ilvl w:val="0"/>
          <w:numId w:val="0"/>
        </w:numPr>
      </w:pPr>
      <w:bookmarkStart w:id="9" w:name="_Toc201061294"/>
      <w:r>
        <w:lastRenderedPageBreak/>
        <w:t xml:space="preserve">7. </w:t>
      </w:r>
      <w:r w:rsidR="002107B6">
        <w:t>Procurement timetable</w:t>
      </w:r>
      <w:bookmarkEnd w:id="9"/>
    </w:p>
    <w:p w14:paraId="7D9619E2" w14:textId="289DA3C7" w:rsidR="00F72F39" w:rsidRPr="00F809C4" w:rsidRDefault="0018563A" w:rsidP="00F809C4">
      <w:pPr>
        <w:pStyle w:val="Normal1"/>
        <w:spacing w:line="360" w:lineRule="auto"/>
        <w:jc w:val="both"/>
        <w:rPr>
          <w:rFonts w:asciiTheme="minorHAnsi" w:eastAsiaTheme="minorEastAsia" w:hAnsiTheme="minorHAnsi" w:cstheme="minorBidi"/>
        </w:rPr>
      </w:pPr>
      <w:r w:rsidRPr="00F809C4">
        <w:rPr>
          <w:rFonts w:asciiTheme="minorHAnsi" w:eastAsiaTheme="minorEastAsia" w:hAnsiTheme="minorHAnsi" w:cstheme="minorBidi"/>
        </w:rPr>
        <w:t xml:space="preserve">The timetable for the [remainder of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rsidRPr="00F809C4">
        <w:rPr>
          <w:rFonts w:asciiTheme="minorHAnsi" w:eastAsiaTheme="minorEastAsia" w:hAnsiTheme="minorHAnsi" w:cstheme="minorBidi"/>
        </w:rPr>
        <w:t>P</w:t>
      </w:r>
      <w:r w:rsidRPr="00F809C4">
        <w:rPr>
          <w:rFonts w:asciiTheme="minorHAnsi" w:eastAsiaTheme="minorEastAsia" w:hAnsiTheme="minorHAnsi" w:cstheme="minorBidi"/>
        </w:rPr>
        <w:t>ortal.</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105ACF64">
        <w:trPr>
          <w:tblHeader/>
        </w:trPr>
        <w:tc>
          <w:tcPr>
            <w:tcW w:w="3119" w:type="dxa"/>
            <w:shd w:val="clear" w:color="auto" w:fill="BEDDFF" w:themeFill="accent2" w:themeFillTint="33"/>
          </w:tcPr>
          <w:p w14:paraId="026BF2DC" w14:textId="77777777" w:rsidR="0018563A" w:rsidRPr="00845A54" w:rsidRDefault="0018563A"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Date(s) and time(s)</w:t>
            </w:r>
          </w:p>
        </w:tc>
        <w:tc>
          <w:tcPr>
            <w:tcW w:w="6519" w:type="dxa"/>
            <w:shd w:val="clear" w:color="auto" w:fill="BEDDFF" w:themeFill="accent2" w:themeFillTint="33"/>
          </w:tcPr>
          <w:p w14:paraId="025089DD" w14:textId="77777777" w:rsidR="0018563A" w:rsidRPr="00845A54" w:rsidRDefault="0018563A"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Procurement activity</w:t>
            </w:r>
          </w:p>
        </w:tc>
      </w:tr>
      <w:tr w:rsidR="0018563A" w:rsidRPr="0018563A" w14:paraId="1AC4CDFD" w14:textId="77777777" w:rsidTr="105ACF64">
        <w:tc>
          <w:tcPr>
            <w:tcW w:w="3119" w:type="dxa"/>
          </w:tcPr>
          <w:p w14:paraId="44248BCC" w14:textId="657C7DA7" w:rsidR="0018563A" w:rsidRPr="00041CB5" w:rsidRDefault="002872D8" w:rsidP="009E4F50">
            <w:pPr>
              <w:pStyle w:val="BodyText1"/>
              <w:spacing w:after="120"/>
              <w:rPr>
                <w:b/>
                <w:bCs/>
                <w:highlight w:val="yellow"/>
              </w:rPr>
            </w:pPr>
            <w:r w:rsidRPr="006448F5">
              <w:rPr>
                <w:b/>
                <w:bCs/>
              </w:rPr>
              <w:t>1</w:t>
            </w:r>
            <w:r w:rsidR="00FC073A">
              <w:rPr>
                <w:b/>
                <w:bCs/>
              </w:rPr>
              <w:t>7</w:t>
            </w:r>
            <w:r w:rsidRPr="006448F5">
              <w:rPr>
                <w:b/>
                <w:bCs/>
                <w:vertAlign w:val="superscript"/>
              </w:rPr>
              <w:t>th</w:t>
            </w:r>
            <w:r w:rsidRPr="006448F5">
              <w:rPr>
                <w:b/>
              </w:rPr>
              <w:t xml:space="preserve"> June </w:t>
            </w:r>
            <w:r w:rsidR="00CC5399" w:rsidRPr="006448F5">
              <w:rPr>
                <w:b/>
              </w:rPr>
              <w:t xml:space="preserve"> </w:t>
            </w:r>
          </w:p>
        </w:tc>
        <w:tc>
          <w:tcPr>
            <w:tcW w:w="6519" w:type="dxa"/>
          </w:tcPr>
          <w:p w14:paraId="4913E1A8" w14:textId="48B8C8DB" w:rsidR="0018563A" w:rsidRPr="00635953" w:rsidRDefault="005C1E68" w:rsidP="009E4F50">
            <w:pPr>
              <w:pStyle w:val="BodyText1"/>
              <w:spacing w:after="120"/>
              <w:rPr>
                <w:rFonts w:eastAsiaTheme="minorEastAsia" w:cstheme="minorBidi"/>
                <w:color w:val="auto"/>
              </w:rPr>
            </w:pPr>
            <w:r w:rsidRPr="00635953">
              <w:rPr>
                <w:rFonts w:eastAsiaTheme="minorEastAsia" w:cstheme="minorBidi"/>
                <w:color w:val="auto"/>
              </w:rPr>
              <w:t xml:space="preserve">Issue of </w:t>
            </w:r>
            <w:r w:rsidR="005E76F1" w:rsidRPr="00635953">
              <w:rPr>
                <w:rFonts w:eastAsiaTheme="minorEastAsia" w:cstheme="minorBidi"/>
                <w:color w:val="auto"/>
              </w:rPr>
              <w:t>F</w:t>
            </w:r>
            <w:r w:rsidR="005E76F1">
              <w:rPr>
                <w:rFonts w:eastAsiaTheme="minorEastAsia" w:cstheme="minorBidi"/>
                <w:color w:val="auto"/>
              </w:rPr>
              <w:t>AT</w:t>
            </w:r>
            <w:r w:rsidR="005E76F1" w:rsidRPr="00635953">
              <w:rPr>
                <w:rFonts w:eastAsiaTheme="minorEastAsia" w:cstheme="minorBidi"/>
                <w:color w:val="auto"/>
              </w:rPr>
              <w:t xml:space="preserve"> </w:t>
            </w:r>
            <w:r w:rsidR="005E76F1">
              <w:rPr>
                <w:rFonts w:eastAsiaTheme="minorEastAsia" w:cstheme="minorBidi"/>
                <w:color w:val="auto"/>
              </w:rPr>
              <w:t>Tender</w:t>
            </w:r>
            <w:r w:rsidR="005E76F1" w:rsidRPr="00635953">
              <w:rPr>
                <w:rFonts w:eastAsiaTheme="minorEastAsia" w:cstheme="minorBidi"/>
                <w:color w:val="auto"/>
              </w:rPr>
              <w:t xml:space="preserve"> </w:t>
            </w:r>
            <w:r w:rsidRPr="00635953">
              <w:rPr>
                <w:rFonts w:eastAsiaTheme="minorEastAsia" w:cstheme="minorBidi"/>
                <w:color w:val="auto"/>
              </w:rPr>
              <w:t>Notice, th</w:t>
            </w:r>
            <w:r w:rsidR="008121B6" w:rsidRPr="00635953">
              <w:rPr>
                <w:rFonts w:eastAsiaTheme="minorEastAsia" w:cstheme="minorBidi"/>
                <w:color w:val="auto"/>
              </w:rPr>
              <w:t>e</w:t>
            </w:r>
            <w:r w:rsidRPr="00635953">
              <w:rPr>
                <w:rFonts w:eastAsiaTheme="minorEastAsia" w:cstheme="minorBidi"/>
                <w:color w:val="auto"/>
              </w:rPr>
              <w:t xml:space="preserve"> PSQ</w:t>
            </w:r>
            <w:r w:rsidR="005E76F1">
              <w:rPr>
                <w:rFonts w:eastAsiaTheme="minorEastAsia" w:cstheme="minorBidi"/>
                <w:color w:val="auto"/>
              </w:rPr>
              <w:t>,</w:t>
            </w:r>
            <w:r w:rsidR="00D15A01">
              <w:rPr>
                <w:rFonts w:eastAsiaTheme="minorEastAsia" w:cstheme="minorBidi"/>
                <w:color w:val="auto"/>
              </w:rPr>
              <w:t xml:space="preserve"> draft contract notice &amp; associated </w:t>
            </w:r>
            <w:r w:rsidR="008216CE">
              <w:rPr>
                <w:rFonts w:eastAsiaTheme="minorEastAsia" w:cstheme="minorBidi"/>
                <w:color w:val="auto"/>
              </w:rPr>
              <w:t xml:space="preserve">draft </w:t>
            </w:r>
            <w:r w:rsidR="00D15A01">
              <w:rPr>
                <w:rFonts w:eastAsiaTheme="minorEastAsia" w:cstheme="minorBidi"/>
                <w:color w:val="auto"/>
              </w:rPr>
              <w:t>schedules.</w:t>
            </w:r>
          </w:p>
        </w:tc>
      </w:tr>
      <w:tr w:rsidR="0018563A" w:rsidRPr="0018563A" w14:paraId="37169254" w14:textId="77777777" w:rsidTr="105ACF64">
        <w:tc>
          <w:tcPr>
            <w:tcW w:w="3119" w:type="dxa"/>
          </w:tcPr>
          <w:p w14:paraId="0B1F223A" w14:textId="621A0B80" w:rsidR="0018563A" w:rsidRPr="008216CE" w:rsidRDefault="006B384F" w:rsidP="009E4F50">
            <w:pPr>
              <w:pStyle w:val="BodyText1"/>
              <w:spacing w:after="0"/>
              <w:rPr>
                <w:b/>
                <w:highlight w:val="yellow"/>
              </w:rPr>
            </w:pPr>
            <w:r w:rsidRPr="008216CE">
              <w:rPr>
                <w:b/>
              </w:rPr>
              <w:t>11th</w:t>
            </w:r>
            <w:r w:rsidRPr="002147FB">
              <w:rPr>
                <w:b/>
                <w:vertAlign w:val="superscript"/>
              </w:rPr>
              <w:t>th</w:t>
            </w:r>
            <w:r w:rsidRPr="002147FB">
              <w:rPr>
                <w:b/>
              </w:rPr>
              <w:t xml:space="preserve"> </w:t>
            </w:r>
            <w:r w:rsidRPr="008216CE">
              <w:rPr>
                <w:b/>
              </w:rPr>
              <w:t>Jul</w:t>
            </w:r>
            <w:r w:rsidRPr="002147FB">
              <w:rPr>
                <w:b/>
              </w:rPr>
              <w:t xml:space="preserve"> </w:t>
            </w:r>
            <w:r w:rsidR="7C04108C" w:rsidRPr="002147FB">
              <w:rPr>
                <w:b/>
              </w:rPr>
              <w:t>25 17:00</w:t>
            </w:r>
          </w:p>
        </w:tc>
        <w:tc>
          <w:tcPr>
            <w:tcW w:w="6519" w:type="dxa"/>
          </w:tcPr>
          <w:p w14:paraId="4470D134" w14:textId="3F9119BD" w:rsidR="0018563A" w:rsidRPr="00635953" w:rsidRDefault="005C1E68" w:rsidP="009E4F50">
            <w:pPr>
              <w:pStyle w:val="BodyText1"/>
              <w:spacing w:after="0"/>
              <w:rPr>
                <w:rFonts w:eastAsiaTheme="minorEastAsia" w:cstheme="minorBidi"/>
              </w:rPr>
            </w:pPr>
            <w:r w:rsidRPr="00635953">
              <w:rPr>
                <w:rFonts w:eastAsiaTheme="minorEastAsia" w:cstheme="minorBidi"/>
              </w:rPr>
              <w:t>Deadline for submission of PSQ responses</w:t>
            </w:r>
          </w:p>
        </w:tc>
      </w:tr>
      <w:tr w:rsidR="0018563A" w:rsidRPr="0018563A" w14:paraId="06FBADF4" w14:textId="77777777" w:rsidTr="105ACF64">
        <w:tc>
          <w:tcPr>
            <w:tcW w:w="3119" w:type="dxa"/>
          </w:tcPr>
          <w:p w14:paraId="77F88391" w14:textId="1F14BE34" w:rsidR="0018563A" w:rsidRPr="008216CE" w:rsidRDefault="000846C3" w:rsidP="009E4F50">
            <w:pPr>
              <w:pStyle w:val="BodyText1"/>
              <w:spacing w:after="0"/>
              <w:rPr>
                <w:b/>
                <w:highlight w:val="yellow"/>
              </w:rPr>
            </w:pPr>
            <w:r w:rsidRPr="008216CE">
              <w:rPr>
                <w:b/>
              </w:rPr>
              <w:t>25</w:t>
            </w:r>
            <w:r w:rsidRPr="008216CE">
              <w:rPr>
                <w:b/>
                <w:vertAlign w:val="superscript"/>
              </w:rPr>
              <w:t>th</w:t>
            </w:r>
            <w:r w:rsidRPr="008216CE">
              <w:rPr>
                <w:b/>
              </w:rPr>
              <w:t xml:space="preserve"> Jul </w:t>
            </w:r>
            <w:r w:rsidR="005C1E68" w:rsidRPr="008216CE">
              <w:rPr>
                <w:b/>
              </w:rPr>
              <w:t>25 17:00</w:t>
            </w:r>
          </w:p>
        </w:tc>
        <w:tc>
          <w:tcPr>
            <w:tcW w:w="6519" w:type="dxa"/>
          </w:tcPr>
          <w:p w14:paraId="13DC56D4" w14:textId="1DD6CF3B" w:rsidR="0018563A" w:rsidRPr="00635953" w:rsidRDefault="005C1E68" w:rsidP="009E4F50">
            <w:pPr>
              <w:tabs>
                <w:tab w:val="left" w:pos="2751"/>
              </w:tabs>
              <w:ind w:left="57"/>
              <w:rPr>
                <w:rFonts w:eastAsiaTheme="minorEastAsia" w:cstheme="minorBidi"/>
              </w:rPr>
            </w:pPr>
            <w:r w:rsidRPr="00635953">
              <w:rPr>
                <w:rFonts w:eastAsiaTheme="minorEastAsia" w:cstheme="minorBidi"/>
              </w:rPr>
              <w:t>Evaluation of PSQ responses</w:t>
            </w:r>
          </w:p>
        </w:tc>
      </w:tr>
      <w:tr w:rsidR="0018563A" w:rsidRPr="0018563A" w14:paraId="798884F2" w14:textId="77777777" w:rsidTr="105ACF64">
        <w:tc>
          <w:tcPr>
            <w:tcW w:w="3119" w:type="dxa"/>
          </w:tcPr>
          <w:p w14:paraId="004D2031" w14:textId="4376CB4B" w:rsidR="0018563A" w:rsidRPr="00491579" w:rsidRDefault="00372465" w:rsidP="009E4F50">
            <w:pPr>
              <w:pStyle w:val="BodyText1"/>
              <w:spacing w:after="0"/>
              <w:rPr>
                <w:b/>
              </w:rPr>
            </w:pPr>
            <w:r>
              <w:rPr>
                <w:b/>
                <w:bCs/>
              </w:rPr>
              <w:t>28</w:t>
            </w:r>
            <w:r w:rsidRPr="008216CE">
              <w:rPr>
                <w:b/>
                <w:bCs/>
                <w:vertAlign w:val="superscript"/>
              </w:rPr>
              <w:t>th</w:t>
            </w:r>
            <w:r w:rsidR="00046BFC" w:rsidRPr="008216CE">
              <w:rPr>
                <w:b/>
              </w:rPr>
              <w:t xml:space="preserve"> </w:t>
            </w:r>
            <w:r w:rsidR="00386D18" w:rsidRPr="008216CE">
              <w:rPr>
                <w:b/>
              </w:rPr>
              <w:t>Jul</w:t>
            </w:r>
            <w:r w:rsidR="00386D18" w:rsidRPr="002147FB">
              <w:rPr>
                <w:b/>
              </w:rPr>
              <w:t xml:space="preserve"> </w:t>
            </w:r>
            <w:r w:rsidR="00770687" w:rsidRPr="002147FB">
              <w:rPr>
                <w:b/>
              </w:rPr>
              <w:t>25 17:00</w:t>
            </w:r>
          </w:p>
        </w:tc>
        <w:tc>
          <w:tcPr>
            <w:tcW w:w="6519" w:type="dxa"/>
          </w:tcPr>
          <w:p w14:paraId="29D8B445" w14:textId="353318BD" w:rsidR="0018563A" w:rsidRPr="0018563A" w:rsidRDefault="00770687" w:rsidP="009E4F50">
            <w:pPr>
              <w:tabs>
                <w:tab w:val="left" w:pos="2751"/>
              </w:tabs>
              <w:ind w:left="57"/>
              <w:rPr>
                <w:rFonts w:eastAsiaTheme="minorEastAsia" w:cstheme="minorBidi"/>
              </w:rPr>
            </w:pPr>
            <w:r w:rsidRPr="7C92C8FB">
              <w:rPr>
                <w:rFonts w:eastAsiaTheme="minorEastAsia" w:cstheme="minorBidi"/>
              </w:rPr>
              <w:t>Issue of IT</w:t>
            </w:r>
            <w:r w:rsidR="00386D18">
              <w:rPr>
                <w:rFonts w:eastAsiaTheme="minorEastAsia" w:cstheme="minorBidi"/>
              </w:rPr>
              <w:t>N(s)</w:t>
            </w:r>
            <w:r w:rsidRPr="7C92C8FB">
              <w:rPr>
                <w:rFonts w:eastAsiaTheme="minorEastAsia" w:cstheme="minorBidi"/>
              </w:rPr>
              <w:t>/notification to unsuccessful applicants</w:t>
            </w:r>
          </w:p>
        </w:tc>
      </w:tr>
      <w:tr w:rsidR="0018563A" w:rsidRPr="0018563A" w14:paraId="7BB8F3D1" w14:textId="77777777" w:rsidTr="105ACF64">
        <w:tc>
          <w:tcPr>
            <w:tcW w:w="3119" w:type="dxa"/>
          </w:tcPr>
          <w:p w14:paraId="056123E4" w14:textId="216801F8" w:rsidR="0018563A" w:rsidRPr="006448F5" w:rsidRDefault="00CD3ECF" w:rsidP="009E4F50">
            <w:pPr>
              <w:pStyle w:val="BodyText1"/>
              <w:spacing w:after="0"/>
              <w:rPr>
                <w:b/>
                <w:highlight w:val="yellow"/>
              </w:rPr>
            </w:pPr>
            <w:r w:rsidRPr="008216CE">
              <w:rPr>
                <w:b/>
              </w:rPr>
              <w:t>1st Aug</w:t>
            </w:r>
            <w:r w:rsidR="00770687" w:rsidRPr="008216CE">
              <w:rPr>
                <w:b/>
              </w:rPr>
              <w:t xml:space="preserve"> 25 17:00</w:t>
            </w:r>
          </w:p>
        </w:tc>
        <w:tc>
          <w:tcPr>
            <w:tcW w:w="6519" w:type="dxa"/>
          </w:tcPr>
          <w:p w14:paraId="7AAA8B8F" w14:textId="2AE64D8D" w:rsidR="0018563A" w:rsidRPr="00635953" w:rsidRDefault="00770687" w:rsidP="009E4F50">
            <w:pPr>
              <w:pStyle w:val="BodyText1"/>
              <w:spacing w:after="0"/>
              <w:rPr>
                <w:rFonts w:eastAsiaTheme="minorEastAsia" w:cstheme="minorBidi"/>
              </w:rPr>
            </w:pPr>
            <w:r w:rsidRPr="00635953">
              <w:rPr>
                <w:rFonts w:eastAsiaTheme="minorEastAsia" w:cstheme="minorBidi"/>
              </w:rPr>
              <w:t>Deadline for submission of clarification questions relating to the IT</w:t>
            </w:r>
            <w:r w:rsidR="00CD3ECF">
              <w:rPr>
                <w:rFonts w:eastAsiaTheme="minorEastAsia" w:cstheme="minorBidi"/>
              </w:rPr>
              <w:t>N</w:t>
            </w:r>
          </w:p>
        </w:tc>
      </w:tr>
      <w:tr w:rsidR="00CD3ECF" w:rsidRPr="0018563A" w14:paraId="760A448D" w14:textId="77777777" w:rsidTr="105ACF64">
        <w:trPr>
          <w:trHeight w:val="300"/>
        </w:trPr>
        <w:tc>
          <w:tcPr>
            <w:tcW w:w="3119" w:type="dxa"/>
          </w:tcPr>
          <w:p w14:paraId="669CA323" w14:textId="5506C200" w:rsidR="00CD3ECF" w:rsidRPr="00CD3ECF" w:rsidRDefault="00C40AD6" w:rsidP="009E4F50">
            <w:pPr>
              <w:pStyle w:val="BodyText1"/>
              <w:spacing w:after="0"/>
              <w:rPr>
                <w:b/>
                <w:bCs/>
                <w:highlight w:val="yellow"/>
              </w:rPr>
            </w:pPr>
            <w:r w:rsidRPr="00A9005C">
              <w:rPr>
                <w:b/>
              </w:rPr>
              <w:t>7</w:t>
            </w:r>
            <w:r w:rsidRPr="00A9005C">
              <w:rPr>
                <w:b/>
                <w:vertAlign w:val="superscript"/>
              </w:rPr>
              <w:t>th</w:t>
            </w:r>
            <w:r w:rsidRPr="00A9005C">
              <w:rPr>
                <w:b/>
              </w:rPr>
              <w:t xml:space="preserve"> Aug 25 tbc</w:t>
            </w:r>
          </w:p>
        </w:tc>
        <w:tc>
          <w:tcPr>
            <w:tcW w:w="6519" w:type="dxa"/>
          </w:tcPr>
          <w:p w14:paraId="222B668F" w14:textId="586A3553" w:rsidR="00CD3ECF" w:rsidRPr="00635953" w:rsidRDefault="00C40AD6" w:rsidP="009E4F50">
            <w:pPr>
              <w:pStyle w:val="BodyText1"/>
              <w:spacing w:after="0"/>
              <w:rPr>
                <w:rFonts w:eastAsiaTheme="minorEastAsia" w:cstheme="minorBidi"/>
              </w:rPr>
            </w:pPr>
            <w:r>
              <w:rPr>
                <w:rFonts w:eastAsiaTheme="minorEastAsia" w:cstheme="minorBidi"/>
              </w:rPr>
              <w:t>Clarification call</w:t>
            </w:r>
            <w:r w:rsidR="00C97C45">
              <w:rPr>
                <w:rFonts w:eastAsiaTheme="minorEastAsia" w:cstheme="minorBidi"/>
              </w:rPr>
              <w:t>(</w:t>
            </w:r>
            <w:r>
              <w:rPr>
                <w:rFonts w:eastAsiaTheme="minorEastAsia" w:cstheme="minorBidi"/>
              </w:rPr>
              <w:t>s</w:t>
            </w:r>
            <w:r w:rsidR="00C97C45">
              <w:rPr>
                <w:rFonts w:eastAsiaTheme="minorEastAsia" w:cstheme="minorBidi"/>
              </w:rPr>
              <w:t>)</w:t>
            </w:r>
            <w:r>
              <w:rPr>
                <w:rFonts w:eastAsiaTheme="minorEastAsia" w:cstheme="minorBidi"/>
              </w:rPr>
              <w:t xml:space="preserve"> as required</w:t>
            </w:r>
          </w:p>
        </w:tc>
      </w:tr>
      <w:tr w:rsidR="0048666B" w:rsidRPr="0018563A" w14:paraId="29E14671" w14:textId="77777777" w:rsidTr="105ACF64">
        <w:trPr>
          <w:trHeight w:val="300"/>
        </w:trPr>
        <w:tc>
          <w:tcPr>
            <w:tcW w:w="3119" w:type="dxa"/>
          </w:tcPr>
          <w:p w14:paraId="7834585F" w14:textId="47F4B420" w:rsidR="0048666B" w:rsidRPr="0048666B" w:rsidRDefault="000F2FCD" w:rsidP="009E4F50">
            <w:pPr>
              <w:pStyle w:val="BodyText1"/>
              <w:spacing w:after="0"/>
              <w:rPr>
                <w:b/>
                <w:bCs/>
              </w:rPr>
            </w:pPr>
            <w:r>
              <w:rPr>
                <w:b/>
                <w:bCs/>
              </w:rPr>
              <w:t>14</w:t>
            </w:r>
            <w:r w:rsidRPr="00A9005C">
              <w:rPr>
                <w:b/>
                <w:bCs/>
                <w:vertAlign w:val="superscript"/>
              </w:rPr>
              <w:t>th</w:t>
            </w:r>
            <w:r>
              <w:rPr>
                <w:b/>
                <w:bCs/>
              </w:rPr>
              <w:t xml:space="preserve"> Aug 25</w:t>
            </w:r>
            <w:r w:rsidR="008B2EF5">
              <w:rPr>
                <w:b/>
                <w:bCs/>
              </w:rPr>
              <w:t xml:space="preserve"> 17:00</w:t>
            </w:r>
          </w:p>
        </w:tc>
        <w:tc>
          <w:tcPr>
            <w:tcW w:w="6519" w:type="dxa"/>
          </w:tcPr>
          <w:p w14:paraId="0B2F1FBD" w14:textId="1A626F87" w:rsidR="0048666B" w:rsidRDefault="0048666B" w:rsidP="009E4F50">
            <w:pPr>
              <w:pStyle w:val="BodyText1"/>
              <w:spacing w:after="0"/>
              <w:rPr>
                <w:rFonts w:eastAsiaTheme="minorEastAsia" w:cstheme="minorBidi"/>
              </w:rPr>
            </w:pPr>
            <w:r>
              <w:rPr>
                <w:rFonts w:eastAsiaTheme="minorEastAsia" w:cstheme="minorBidi"/>
              </w:rPr>
              <w:t>Clarification period closes</w:t>
            </w:r>
          </w:p>
        </w:tc>
      </w:tr>
      <w:tr w:rsidR="007977C4" w:rsidRPr="0018563A" w14:paraId="21CB6C89" w14:textId="77777777" w:rsidTr="105ACF64">
        <w:trPr>
          <w:trHeight w:val="300"/>
        </w:trPr>
        <w:tc>
          <w:tcPr>
            <w:tcW w:w="3119" w:type="dxa"/>
          </w:tcPr>
          <w:p w14:paraId="19181F61" w14:textId="6C1E8FAC" w:rsidR="007977C4" w:rsidRPr="008216CE" w:rsidRDefault="008E4C71" w:rsidP="009E4F50">
            <w:pPr>
              <w:pStyle w:val="BodyText1"/>
              <w:spacing w:after="0"/>
              <w:rPr>
                <w:b/>
                <w:highlight w:val="yellow"/>
              </w:rPr>
            </w:pPr>
            <w:r w:rsidRPr="00A9005C">
              <w:rPr>
                <w:b/>
              </w:rPr>
              <w:t>29</w:t>
            </w:r>
            <w:r w:rsidRPr="00A9005C">
              <w:rPr>
                <w:b/>
                <w:vertAlign w:val="superscript"/>
              </w:rPr>
              <w:t>th</w:t>
            </w:r>
            <w:r w:rsidRPr="00A9005C">
              <w:rPr>
                <w:b/>
              </w:rPr>
              <w:t xml:space="preserve"> Aug </w:t>
            </w:r>
            <w:r w:rsidR="39357EEA" w:rsidRPr="00A9005C">
              <w:rPr>
                <w:b/>
              </w:rPr>
              <w:t>25 17:00</w:t>
            </w:r>
          </w:p>
        </w:tc>
        <w:tc>
          <w:tcPr>
            <w:tcW w:w="6519" w:type="dxa"/>
          </w:tcPr>
          <w:p w14:paraId="4D78791F" w14:textId="50B68514" w:rsidR="007977C4" w:rsidRPr="0018563A" w:rsidRDefault="000E6E47" w:rsidP="009E4F50">
            <w:pPr>
              <w:pStyle w:val="BodyText1"/>
              <w:spacing w:after="0"/>
              <w:rPr>
                <w:rFonts w:eastAsiaTheme="minorEastAsia" w:cstheme="minorBidi"/>
              </w:rPr>
            </w:pPr>
            <w:r w:rsidRPr="00635953">
              <w:rPr>
                <w:rFonts w:eastAsiaTheme="minorEastAsia" w:cstheme="minorBidi"/>
              </w:rPr>
              <w:t>Deadline for submission of ITT</w:t>
            </w:r>
          </w:p>
        </w:tc>
      </w:tr>
      <w:tr w:rsidR="000E6E47" w:rsidRPr="0018563A" w14:paraId="46DC38BE" w14:textId="77777777" w:rsidTr="105ACF64">
        <w:trPr>
          <w:trHeight w:val="300"/>
        </w:trPr>
        <w:tc>
          <w:tcPr>
            <w:tcW w:w="3119" w:type="dxa"/>
          </w:tcPr>
          <w:p w14:paraId="20AA1C94" w14:textId="38DAF53B" w:rsidR="000E6E47" w:rsidRPr="00A9005C" w:rsidRDefault="1B73E7E6" w:rsidP="105ACF64">
            <w:pPr>
              <w:pStyle w:val="BodyText1"/>
              <w:spacing w:after="0"/>
              <w:rPr>
                <w:b/>
                <w:bCs/>
                <w:highlight w:val="yellow"/>
              </w:rPr>
            </w:pPr>
            <w:r w:rsidRPr="105ACF64">
              <w:rPr>
                <w:b/>
                <w:bCs/>
              </w:rPr>
              <w:t xml:space="preserve">Week ending </w:t>
            </w:r>
            <w:r w:rsidR="7F07274D" w:rsidRPr="105ACF64">
              <w:rPr>
                <w:b/>
                <w:bCs/>
              </w:rPr>
              <w:t>26</w:t>
            </w:r>
            <w:r w:rsidR="01F13005" w:rsidRPr="105ACF64">
              <w:rPr>
                <w:b/>
                <w:bCs/>
              </w:rPr>
              <w:t>th Sep</w:t>
            </w:r>
            <w:r w:rsidRPr="105ACF64">
              <w:rPr>
                <w:b/>
                <w:bCs/>
              </w:rPr>
              <w:t xml:space="preserve"> 25</w:t>
            </w:r>
          </w:p>
        </w:tc>
        <w:tc>
          <w:tcPr>
            <w:tcW w:w="6519" w:type="dxa"/>
          </w:tcPr>
          <w:p w14:paraId="39171DBA" w14:textId="4DF0677C" w:rsidR="000E6E47" w:rsidRDefault="000E6E47" w:rsidP="009E4F50">
            <w:pPr>
              <w:pStyle w:val="BodyText1"/>
              <w:spacing w:after="0"/>
              <w:rPr>
                <w:rFonts w:eastAsiaTheme="minorEastAsia" w:cstheme="minorBidi"/>
              </w:rPr>
            </w:pPr>
            <w:r w:rsidRPr="00635953">
              <w:rPr>
                <w:rFonts w:eastAsiaTheme="minorEastAsia" w:cstheme="minorBidi"/>
              </w:rPr>
              <w:t>Presentations</w:t>
            </w:r>
          </w:p>
        </w:tc>
      </w:tr>
      <w:tr w:rsidR="000E6E47" w:rsidRPr="0018563A" w14:paraId="3A295774" w14:textId="77777777" w:rsidTr="105ACF64">
        <w:trPr>
          <w:trHeight w:val="300"/>
        </w:trPr>
        <w:tc>
          <w:tcPr>
            <w:tcW w:w="3119" w:type="dxa"/>
          </w:tcPr>
          <w:p w14:paraId="55CD6A65" w14:textId="1CCB4193" w:rsidR="000E6E47" w:rsidRPr="00A9005C" w:rsidRDefault="4991DEBC" w:rsidP="105ACF64">
            <w:pPr>
              <w:pStyle w:val="BodyText1"/>
              <w:spacing w:after="0"/>
              <w:rPr>
                <w:b/>
                <w:bCs/>
              </w:rPr>
            </w:pPr>
            <w:r w:rsidRPr="105ACF64">
              <w:rPr>
                <w:b/>
                <w:bCs/>
              </w:rPr>
              <w:t>03rd Oct</w:t>
            </w:r>
            <w:r w:rsidR="276B8DEC" w:rsidRPr="105ACF64">
              <w:rPr>
                <w:b/>
                <w:bCs/>
              </w:rPr>
              <w:t xml:space="preserve"> 25 </w:t>
            </w:r>
          </w:p>
        </w:tc>
        <w:tc>
          <w:tcPr>
            <w:tcW w:w="6519" w:type="dxa"/>
          </w:tcPr>
          <w:p w14:paraId="44779203" w14:textId="6F423D2B" w:rsidR="000E6E47" w:rsidRDefault="00612AE0" w:rsidP="009E4F50">
            <w:pPr>
              <w:pStyle w:val="BodyText1"/>
              <w:spacing w:after="0"/>
              <w:rPr>
                <w:rFonts w:eastAsiaTheme="minorEastAsia" w:cstheme="minorBidi"/>
              </w:rPr>
            </w:pPr>
            <w:r w:rsidRPr="00635953">
              <w:rPr>
                <w:rFonts w:eastAsiaTheme="minorEastAsia" w:cstheme="minorBidi"/>
              </w:rPr>
              <w:t>Evaluation of tenders</w:t>
            </w:r>
          </w:p>
        </w:tc>
      </w:tr>
      <w:tr w:rsidR="00612AE0" w:rsidRPr="0018563A" w14:paraId="127C7111" w14:textId="77777777" w:rsidTr="105ACF64">
        <w:trPr>
          <w:trHeight w:val="300"/>
        </w:trPr>
        <w:tc>
          <w:tcPr>
            <w:tcW w:w="3119" w:type="dxa"/>
          </w:tcPr>
          <w:p w14:paraId="7FB435AC" w14:textId="09CD2F53" w:rsidR="00612AE0" w:rsidRPr="00A9005C" w:rsidRDefault="674325F1" w:rsidP="105ACF64">
            <w:pPr>
              <w:pStyle w:val="BodyText1"/>
              <w:spacing w:after="0" w:line="259" w:lineRule="auto"/>
              <w:rPr>
                <w:b/>
                <w:bCs/>
                <w:highlight w:val="yellow"/>
              </w:rPr>
            </w:pPr>
            <w:r w:rsidRPr="105ACF64">
              <w:rPr>
                <w:b/>
                <w:bCs/>
              </w:rPr>
              <w:t>10</w:t>
            </w:r>
            <w:r w:rsidR="18DA2796" w:rsidRPr="105ACF64">
              <w:rPr>
                <w:b/>
                <w:bCs/>
              </w:rPr>
              <w:t>th Oct</w:t>
            </w:r>
            <w:r w:rsidR="01BA3291" w:rsidRPr="105ACF64">
              <w:rPr>
                <w:b/>
                <w:bCs/>
              </w:rPr>
              <w:t xml:space="preserve"> 25</w:t>
            </w:r>
          </w:p>
        </w:tc>
        <w:tc>
          <w:tcPr>
            <w:tcW w:w="6519" w:type="dxa"/>
          </w:tcPr>
          <w:p w14:paraId="3F7BFBEC" w14:textId="5B65AB15" w:rsidR="00612AE0" w:rsidRDefault="00E871A3" w:rsidP="009E4F50">
            <w:pPr>
              <w:pStyle w:val="BodyText1"/>
              <w:spacing w:after="0"/>
              <w:rPr>
                <w:rFonts w:eastAsiaTheme="minorEastAsia" w:cstheme="minorBidi"/>
              </w:rPr>
            </w:pPr>
            <w:r>
              <w:rPr>
                <w:rFonts w:eastAsiaTheme="minorEastAsia" w:cstheme="minorBidi"/>
              </w:rPr>
              <w:t>Scoring panel recommendation paper development</w:t>
            </w:r>
          </w:p>
        </w:tc>
      </w:tr>
      <w:tr w:rsidR="00C42F43" w:rsidRPr="0018563A" w14:paraId="543715E4" w14:textId="77777777" w:rsidTr="105ACF64">
        <w:trPr>
          <w:trHeight w:val="300"/>
        </w:trPr>
        <w:tc>
          <w:tcPr>
            <w:tcW w:w="3119" w:type="dxa"/>
          </w:tcPr>
          <w:p w14:paraId="1B1F1895" w14:textId="20C47486" w:rsidR="00C42F43" w:rsidRDefault="00E871A3" w:rsidP="009E4F50">
            <w:pPr>
              <w:pStyle w:val="BodyText1"/>
              <w:spacing w:after="0"/>
              <w:rPr>
                <w:b/>
                <w:bCs/>
              </w:rPr>
            </w:pPr>
            <w:r>
              <w:rPr>
                <w:b/>
                <w:bCs/>
              </w:rPr>
              <w:t>TBC</w:t>
            </w:r>
          </w:p>
        </w:tc>
        <w:tc>
          <w:tcPr>
            <w:tcW w:w="6519" w:type="dxa"/>
          </w:tcPr>
          <w:p w14:paraId="12FECE25" w14:textId="6848FE17" w:rsidR="00C42F43" w:rsidRDefault="005A01E1" w:rsidP="009E4F50">
            <w:pPr>
              <w:pStyle w:val="BodyText1"/>
              <w:spacing w:after="0"/>
            </w:pPr>
            <w:r>
              <w:t>Board approval</w:t>
            </w:r>
            <w:r w:rsidR="00E871A3">
              <w:t xml:space="preserve"> of supplier(s)</w:t>
            </w:r>
          </w:p>
        </w:tc>
      </w:tr>
      <w:tr w:rsidR="005A01E1" w:rsidRPr="0018563A" w14:paraId="00C53775" w14:textId="77777777" w:rsidTr="105ACF64">
        <w:trPr>
          <w:trHeight w:val="300"/>
        </w:trPr>
        <w:tc>
          <w:tcPr>
            <w:tcW w:w="3119" w:type="dxa"/>
          </w:tcPr>
          <w:p w14:paraId="3B79D610" w14:textId="369CD566" w:rsidR="005A01E1" w:rsidRDefault="004767AC" w:rsidP="009E4F50">
            <w:pPr>
              <w:pStyle w:val="BodyText1"/>
              <w:spacing w:after="0"/>
              <w:rPr>
                <w:b/>
                <w:bCs/>
              </w:rPr>
            </w:pPr>
            <w:r>
              <w:rPr>
                <w:b/>
                <w:bCs/>
              </w:rPr>
              <w:t>TBC</w:t>
            </w:r>
          </w:p>
        </w:tc>
        <w:tc>
          <w:tcPr>
            <w:tcW w:w="6519" w:type="dxa"/>
          </w:tcPr>
          <w:p w14:paraId="4C15F0D7" w14:textId="3B00DFAB" w:rsidR="005A01E1" w:rsidRDefault="005A01E1" w:rsidP="009E4F50">
            <w:pPr>
              <w:pStyle w:val="BodyText1"/>
              <w:spacing w:after="0"/>
            </w:pPr>
            <w:r w:rsidRPr="00635953">
              <w:rPr>
                <w:rFonts w:eastAsiaTheme="minorEastAsia" w:cstheme="minorBidi"/>
              </w:rPr>
              <w:t>Notification of award decision and issue of standstill letters</w:t>
            </w:r>
          </w:p>
        </w:tc>
      </w:tr>
      <w:tr w:rsidR="005A01E1" w:rsidRPr="0018563A" w14:paraId="36A42CE8" w14:textId="77777777" w:rsidTr="105ACF64">
        <w:trPr>
          <w:trHeight w:val="300"/>
        </w:trPr>
        <w:tc>
          <w:tcPr>
            <w:tcW w:w="3119" w:type="dxa"/>
          </w:tcPr>
          <w:p w14:paraId="5440BEE6" w14:textId="41D2BFDF" w:rsidR="005A01E1" w:rsidRDefault="004767AC" w:rsidP="005A01E1">
            <w:pPr>
              <w:pStyle w:val="BodyText1"/>
              <w:spacing w:after="0"/>
              <w:rPr>
                <w:b/>
                <w:bCs/>
              </w:rPr>
            </w:pPr>
            <w:r>
              <w:rPr>
                <w:b/>
                <w:bCs/>
              </w:rPr>
              <w:t>TBC</w:t>
            </w:r>
          </w:p>
        </w:tc>
        <w:tc>
          <w:tcPr>
            <w:tcW w:w="6519" w:type="dxa"/>
          </w:tcPr>
          <w:p w14:paraId="52E858D1" w14:textId="66DAF870" w:rsidR="005A01E1" w:rsidRDefault="005A01E1" w:rsidP="005A01E1">
            <w:pPr>
              <w:pStyle w:val="BodyText1"/>
              <w:spacing w:after="0"/>
            </w:pPr>
            <w:r w:rsidRPr="00635953">
              <w:rPr>
                <w:rFonts w:eastAsiaTheme="minorEastAsia" w:cstheme="minorBidi"/>
              </w:rPr>
              <w:t>Standstill period expiry, contract award notice published</w:t>
            </w:r>
          </w:p>
        </w:tc>
      </w:tr>
    </w:tbl>
    <w:p w14:paraId="0AB05BD8" w14:textId="4B529B14" w:rsidR="0018563A" w:rsidRDefault="002147DD" w:rsidP="00F809C4">
      <w:pPr>
        <w:pStyle w:val="BodyText1"/>
        <w:jc w:val="both"/>
      </w:pPr>
      <w:r w:rsidRPr="002147DD">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0E5F53EE" w14:textId="77777777" w:rsidR="004C009C" w:rsidRDefault="004C009C">
      <w:pPr>
        <w:rPr>
          <w:b/>
          <w:color w:val="005ABB" w:themeColor="accent2"/>
          <w:sz w:val="50"/>
          <w:szCs w:val="50"/>
        </w:rPr>
      </w:pPr>
      <w:r>
        <w:rPr>
          <w:b/>
          <w:color w:val="005ABB" w:themeColor="accent2"/>
          <w:sz w:val="50"/>
          <w:szCs w:val="50"/>
        </w:rPr>
        <w:br w:type="page"/>
      </w:r>
    </w:p>
    <w:p w14:paraId="7CB6D53D" w14:textId="77777777" w:rsidR="004C009C" w:rsidRDefault="0C1113CD" w:rsidP="004C009C">
      <w:pPr>
        <w:pStyle w:val="BodyText1"/>
        <w:rPr>
          <w:b/>
          <w:color w:val="005ABB" w:themeColor="accent2"/>
          <w:sz w:val="50"/>
          <w:szCs w:val="50"/>
        </w:rPr>
      </w:pPr>
      <w:r w:rsidRPr="004C009C">
        <w:rPr>
          <w:b/>
          <w:color w:val="005ABB" w:themeColor="accent2"/>
          <w:sz w:val="50"/>
          <w:szCs w:val="50"/>
        </w:rPr>
        <w:lastRenderedPageBreak/>
        <w:t xml:space="preserve">8. </w:t>
      </w:r>
      <w:r w:rsidR="002147DD" w:rsidRPr="004C009C">
        <w:rPr>
          <w:b/>
          <w:color w:val="005ABB" w:themeColor="accent2"/>
          <w:sz w:val="50"/>
          <w:szCs w:val="50"/>
        </w:rPr>
        <w:t>Service Levels, Service Credits and</w:t>
      </w:r>
      <w:r w:rsidR="00F22687" w:rsidRPr="004C009C">
        <w:rPr>
          <w:b/>
          <w:color w:val="005ABB" w:themeColor="accent2"/>
          <w:sz w:val="50"/>
          <w:szCs w:val="50"/>
        </w:rPr>
        <w:t> </w:t>
      </w:r>
      <w:r w:rsidR="002147DD" w:rsidRPr="004C009C">
        <w:rPr>
          <w:b/>
          <w:color w:val="005ABB" w:themeColor="accent2"/>
          <w:sz w:val="50"/>
          <w:szCs w:val="50"/>
        </w:rPr>
        <w:t>KPIs</w:t>
      </w:r>
    </w:p>
    <w:p w14:paraId="777CE85F"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The Authority expects the Supplier(s) to deliver high-quality, resilient and timely services in accordance with defined service levels (SLs), key performance indicators (KPIs), and operational obligations outlined in the contract.</w:t>
      </w:r>
    </w:p>
    <w:p w14:paraId="1B3BCCA4"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Service Levels</w:t>
      </w:r>
    </w:p>
    <w:p w14:paraId="60266154"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Each Lot will include a set of minimum Service Levels tailored to the nature of the services procured. These will cover, but are not limited to:</w:t>
      </w:r>
    </w:p>
    <w:p w14:paraId="70382561"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Timeliness and accuracy of fund accounting outputs (e.g. NAV production, reconciliations);</w:t>
      </w:r>
    </w:p>
    <w:p w14:paraId="31D275B7"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Settlement and trade processing performance;</w:t>
      </w:r>
    </w:p>
    <w:p w14:paraId="3DBD3AF4"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Timeliness of client reporting delivery;</w:t>
      </w:r>
    </w:p>
    <w:p w14:paraId="41EBF21E"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Responsiveness to incidents, queries and change requests;</w:t>
      </w:r>
    </w:p>
    <w:p w14:paraId="077C46CC"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System availability and data delivery performance.</w:t>
      </w:r>
    </w:p>
    <w:p w14:paraId="42DE3632"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Service Levels will be detailed in Schedule 10 (Service Levels) and monitored on a regular basis, with reporting obligations defined in the implementation phase.</w:t>
      </w:r>
    </w:p>
    <w:p w14:paraId="16B3EF1C"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Critical Service Level Failures</w:t>
      </w:r>
    </w:p>
    <w:p w14:paraId="0FE8D439"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A Critical Service Level Failure will occur if:</w:t>
      </w:r>
    </w:p>
    <w:p w14:paraId="2AF24CFA"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Any individual Critical Service Level is missed for three consecutive months, or</w:t>
      </w:r>
    </w:p>
    <w:p w14:paraId="3E964FE2"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More than 50% of all Critical Service Levels are missed within any three-month period, or</w:t>
      </w:r>
    </w:p>
    <w:p w14:paraId="76F2797F"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A material operational event occurs (e.g. NAV failure, missed regulatory filing, or unplanned outage) resulting in significant business impact.</w:t>
      </w:r>
    </w:p>
    <w:p w14:paraId="64D98D67"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In such cases, the Authority reserves the right to escalate the issue, invoke contractual remedies, and/or initiate discussions on re-performance or partial termination.</w:t>
      </w:r>
    </w:p>
    <w:p w14:paraId="2A12A1FF"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Key Performance Indicators (KPIs)</w:t>
      </w:r>
    </w:p>
    <w:p w14:paraId="27DD901A"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lastRenderedPageBreak/>
        <w:t>In addition to Service Levels, KPIs will be used to assess the overall quality and strategic value of the service delivery. KPIs may include:</w:t>
      </w:r>
    </w:p>
    <w:p w14:paraId="37E22DD6"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SLA compliance rate;</w:t>
      </w:r>
    </w:p>
    <w:p w14:paraId="145E5738"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Client satisfaction or Net Promoter Score (NPS);</w:t>
      </w:r>
    </w:p>
    <w:p w14:paraId="1FA6FE4F"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On-time project/change delivery;</w:t>
      </w:r>
    </w:p>
    <w:p w14:paraId="4075D07C"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Accuracy of reporting and data completeness;</w:t>
      </w:r>
    </w:p>
    <w:p w14:paraId="657FCD56" w14:textId="77777777" w:rsidR="00DF0196" w:rsidRPr="00DF0196"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Quality of oversight management and MI.</w:t>
      </w:r>
    </w:p>
    <w:p w14:paraId="6C2D50B0" w14:textId="45BDFA12" w:rsidR="00365B14" w:rsidRDefault="00DF0196" w:rsidP="00DF0196">
      <w:pPr>
        <w:pStyle w:val="BodyText1"/>
        <w:spacing w:line="360" w:lineRule="auto"/>
        <w:jc w:val="both"/>
        <w:rPr>
          <w:rFonts w:eastAsiaTheme="minorEastAsia" w:cstheme="minorBidi"/>
          <w:lang w:eastAsia="en-US"/>
        </w:rPr>
      </w:pPr>
      <w:r w:rsidRPr="00DF0196">
        <w:rPr>
          <w:rFonts w:eastAsiaTheme="minorEastAsia" w:cstheme="minorBidi"/>
          <w:lang w:eastAsia="en-US"/>
        </w:rPr>
        <w:t>KPIs may be non-credit-bearing but will be monitored through monthly reporting and quarterly performance reviews, and may inform contract management discussions, extension decisions, and continuous improvement actions.</w:t>
      </w:r>
    </w:p>
    <w:p w14:paraId="7DCCF522" w14:textId="74679382" w:rsidR="002147DD" w:rsidRPr="002147DD" w:rsidRDefault="16A62A38" w:rsidP="00DF644D">
      <w:pPr>
        <w:pStyle w:val="Heading1"/>
        <w:numPr>
          <w:ilvl w:val="0"/>
          <w:numId w:val="0"/>
        </w:numPr>
      </w:pPr>
      <w:bookmarkStart w:id="10" w:name="_Toc201061295"/>
      <w:r>
        <w:lastRenderedPageBreak/>
        <w:t xml:space="preserve">9. </w:t>
      </w:r>
      <w:r w:rsidR="002147DD">
        <w:t>Key dependencies</w:t>
      </w:r>
      <w:bookmarkEnd w:id="10"/>
    </w:p>
    <w:p w14:paraId="76ACC24D" w14:textId="77777777" w:rsidR="00DE72A5" w:rsidRDefault="00DE72A5" w:rsidP="00DE72A5">
      <w:pPr>
        <w:pStyle w:val="BodyText1"/>
        <w:spacing w:line="360" w:lineRule="auto"/>
        <w:jc w:val="both"/>
      </w:pPr>
      <w:r>
        <w:t>The Authority has identified a number of dependencies that may impact the successful implementation and ongoing delivery of services under this procurement. These dependencies apply across Lots, although some are more relevant to specific service areas.</w:t>
      </w:r>
    </w:p>
    <w:p w14:paraId="0C1BFDC2" w14:textId="77777777" w:rsidR="00DE72A5" w:rsidRDefault="00DE72A5" w:rsidP="00DE72A5">
      <w:pPr>
        <w:pStyle w:val="BodyText1"/>
        <w:spacing w:line="360" w:lineRule="auto"/>
        <w:jc w:val="both"/>
      </w:pPr>
      <w:r>
        <w:t>Suppliers are expected to factor these dependencies into their implementation and transition planning and must be willing to engage constructively with the Authority and third parties to manage them effectively.</w:t>
      </w:r>
    </w:p>
    <w:p w14:paraId="1D782022" w14:textId="77777777" w:rsidR="00DE72A5" w:rsidRDefault="00DE72A5" w:rsidP="00DE72A5">
      <w:pPr>
        <w:pStyle w:val="BodyText1"/>
        <w:spacing w:line="360" w:lineRule="auto"/>
        <w:jc w:val="both"/>
      </w:pPr>
      <w:r>
        <w:t>Key Dependencies Include:</w:t>
      </w:r>
    </w:p>
    <w:p w14:paraId="24756802" w14:textId="77777777" w:rsidR="00DE72A5" w:rsidRDefault="00DE72A5" w:rsidP="00DE72A5">
      <w:pPr>
        <w:pStyle w:val="BodyText1"/>
        <w:spacing w:line="360" w:lineRule="auto"/>
        <w:jc w:val="both"/>
      </w:pPr>
      <w:r>
        <w:t>Incumbent Service Providers</w:t>
      </w:r>
    </w:p>
    <w:p w14:paraId="4723DC48" w14:textId="77777777" w:rsidR="00DE72A5" w:rsidRDefault="00DE72A5" w:rsidP="00DE72A5">
      <w:pPr>
        <w:pStyle w:val="BodyText1"/>
        <w:spacing w:line="360" w:lineRule="auto"/>
        <w:jc w:val="both"/>
      </w:pPr>
      <w:r>
        <w:t>Timely cooperation from current providers to support data handover, transition planning, parallel running (where needed), and access to systems and documentation. Data and asset migration activities will require structured engagement with incumbents, particularly for custody, fund administration, and client reporting.</w:t>
      </w:r>
    </w:p>
    <w:p w14:paraId="703DFC66" w14:textId="77777777" w:rsidR="00DE72A5" w:rsidRDefault="00DE72A5" w:rsidP="00DE72A5">
      <w:pPr>
        <w:pStyle w:val="BodyText1"/>
        <w:spacing w:line="360" w:lineRule="auto"/>
        <w:jc w:val="both"/>
      </w:pPr>
      <w:r>
        <w:t>Data Availability and Quality</w:t>
      </w:r>
    </w:p>
    <w:p w14:paraId="1508BAF6" w14:textId="77777777" w:rsidR="00DE72A5" w:rsidRDefault="00DE72A5" w:rsidP="00DE72A5">
      <w:pPr>
        <w:pStyle w:val="BodyText1"/>
        <w:spacing w:line="360" w:lineRule="auto"/>
        <w:jc w:val="both"/>
      </w:pPr>
      <w:r>
        <w:t>The Supplier will require timely access to historical and current datasets including transaction, valuation, client reporting, and compliance data to support onboarding and parallel operations. Any deficiencies in data quality or format standardisation may impact implementation timelines.</w:t>
      </w:r>
    </w:p>
    <w:p w14:paraId="12E88813" w14:textId="77777777" w:rsidR="00DE72A5" w:rsidRDefault="00DE72A5" w:rsidP="00DE72A5">
      <w:pPr>
        <w:pStyle w:val="BodyText1"/>
        <w:spacing w:line="360" w:lineRule="auto"/>
        <w:jc w:val="both"/>
      </w:pPr>
      <w:r>
        <w:t>Third-Party Managers and Advisors</w:t>
      </w:r>
    </w:p>
    <w:p w14:paraId="7DB8FEB7" w14:textId="77777777" w:rsidR="00DE72A5" w:rsidRDefault="00DE72A5" w:rsidP="00DE72A5">
      <w:pPr>
        <w:pStyle w:val="BodyText1"/>
        <w:spacing w:line="360" w:lineRule="auto"/>
        <w:jc w:val="both"/>
      </w:pPr>
      <w:r>
        <w:t>Coordination with investment managers and fund-specific administrators (e.g. for private market assets) will be necessary to enable accurate data exchange, trade lifecycle support, and compliance oversight.</w:t>
      </w:r>
    </w:p>
    <w:p w14:paraId="43CC1EF2" w14:textId="77777777" w:rsidR="00DE72A5" w:rsidRDefault="00DE72A5" w:rsidP="00DE72A5">
      <w:pPr>
        <w:pStyle w:val="BodyText1"/>
        <w:spacing w:line="360" w:lineRule="auto"/>
        <w:jc w:val="both"/>
      </w:pPr>
      <w:r>
        <w:t>Internal Stakeholder Capacity</w:t>
      </w:r>
    </w:p>
    <w:p w14:paraId="08CC057B" w14:textId="77777777" w:rsidR="00DE72A5" w:rsidRDefault="00DE72A5" w:rsidP="00DE72A5">
      <w:pPr>
        <w:pStyle w:val="BodyText1"/>
        <w:spacing w:line="360" w:lineRule="auto"/>
        <w:jc w:val="both"/>
      </w:pPr>
      <w:r>
        <w:t>The Authority’s internal resources (Operations, Investment Oversight, Technology, etc.) will be engaged during onboarding. Capacity may be constrained during overlapping transitions or other organisational priorities.</w:t>
      </w:r>
    </w:p>
    <w:p w14:paraId="571B7FE5" w14:textId="77777777" w:rsidR="00DE72A5" w:rsidRDefault="00DE72A5" w:rsidP="00DE72A5">
      <w:pPr>
        <w:pStyle w:val="BodyText1"/>
        <w:spacing w:line="360" w:lineRule="auto"/>
        <w:jc w:val="both"/>
      </w:pPr>
      <w:r>
        <w:lastRenderedPageBreak/>
        <w:t>Technology Interfaces and Integrations</w:t>
      </w:r>
    </w:p>
    <w:p w14:paraId="55064B08" w14:textId="77777777" w:rsidR="00DE72A5" w:rsidRDefault="00DE72A5" w:rsidP="00DE72A5">
      <w:pPr>
        <w:pStyle w:val="BodyText1"/>
        <w:spacing w:line="360" w:lineRule="auto"/>
        <w:jc w:val="both"/>
      </w:pPr>
      <w:r>
        <w:t>API or file-based data integrations may require support from both the Authority’s internal systems and the Supplier’s platform teams. Lead time for testing and reconciliation should be accounted for in implementation plans.</w:t>
      </w:r>
    </w:p>
    <w:p w14:paraId="645B2D87" w14:textId="77777777" w:rsidR="00DE72A5" w:rsidRDefault="00DE72A5" w:rsidP="00DE72A5">
      <w:pPr>
        <w:pStyle w:val="BodyText1"/>
        <w:spacing w:line="360" w:lineRule="auto"/>
        <w:jc w:val="both"/>
      </w:pPr>
      <w:r>
        <w:t>Regulatory Filings and Fund-Level Events</w:t>
      </w:r>
    </w:p>
    <w:p w14:paraId="18EE79B9" w14:textId="77777777" w:rsidR="00DE72A5" w:rsidRDefault="00DE72A5" w:rsidP="00DE72A5">
      <w:pPr>
        <w:pStyle w:val="BodyText1"/>
        <w:spacing w:line="360" w:lineRule="auto"/>
        <w:jc w:val="both"/>
      </w:pPr>
      <w:r>
        <w:t>The transition must avoid disruption to any time-sensitive deliverables, such as quarterly reporting, fund rebalancing, or regulatory filing deadlines (e.g. FCA reporting, client reports).</w:t>
      </w:r>
    </w:p>
    <w:p w14:paraId="653C080B" w14:textId="77777777" w:rsidR="00DE72A5" w:rsidRDefault="00DE72A5" w:rsidP="00DE72A5">
      <w:pPr>
        <w:pStyle w:val="BodyText1"/>
        <w:spacing w:line="360" w:lineRule="auto"/>
        <w:jc w:val="both"/>
      </w:pPr>
      <w:r>
        <w:t>Board and Governance Approvals</w:t>
      </w:r>
    </w:p>
    <w:p w14:paraId="4B0D710D" w14:textId="77777777" w:rsidR="00DE72A5" w:rsidRDefault="00DE72A5" w:rsidP="00DE72A5">
      <w:pPr>
        <w:pStyle w:val="BodyText1"/>
        <w:spacing w:line="360" w:lineRule="auto"/>
        <w:jc w:val="both"/>
      </w:pPr>
      <w:r>
        <w:t>Certain decisions, such as onboarding of new providers, fund operating model changes, and document revisions, may be subject to Authority Board or oversight committee review and sign-off, which may impact the mobilisation timeline.</w:t>
      </w:r>
    </w:p>
    <w:p w14:paraId="4B82F273" w14:textId="77777777" w:rsidR="00DE72A5" w:rsidRDefault="00DE72A5" w:rsidP="00DE72A5">
      <w:pPr>
        <w:pStyle w:val="BodyText1"/>
        <w:spacing w:line="360" w:lineRule="auto"/>
        <w:jc w:val="both"/>
      </w:pPr>
      <w:r>
        <w:t>Suppliers are invited to outline any additional assumptions or dependencies they consider material to successful delivery in their responses. This may include third-party reliance, transition timelines, or system requirements. The Authority reserves the right to discuss and negotiate any such items during the clarification or dialogue stages of the procedure.</w:t>
      </w:r>
    </w:p>
    <w:p w14:paraId="170D9753" w14:textId="77777777" w:rsidR="00DE72A5" w:rsidRDefault="00DE72A5" w:rsidP="00493867">
      <w:pPr>
        <w:pStyle w:val="BodyText1"/>
        <w:spacing w:after="0" w:line="360" w:lineRule="auto"/>
        <w:jc w:val="both"/>
      </w:pPr>
    </w:p>
    <w:p w14:paraId="15CDF526" w14:textId="546E2D94" w:rsidR="002147DD" w:rsidRPr="002147DD" w:rsidRDefault="167B1678" w:rsidP="00DF644D">
      <w:pPr>
        <w:pStyle w:val="Heading1"/>
        <w:numPr>
          <w:ilvl w:val="0"/>
          <w:numId w:val="0"/>
        </w:numPr>
      </w:pPr>
      <w:bookmarkStart w:id="11" w:name="_Toc201061296"/>
      <w:r>
        <w:lastRenderedPageBreak/>
        <w:t xml:space="preserve">10. </w:t>
      </w:r>
      <w:r w:rsidR="002147DD">
        <w:t>Contract terms</w:t>
      </w:r>
      <w:bookmarkEnd w:id="11"/>
    </w:p>
    <w:p w14:paraId="19427BCA" w14:textId="5841F76C" w:rsidR="002147DD" w:rsidRPr="00170C6F" w:rsidRDefault="00F91F3D" w:rsidP="00033CD1">
      <w:pPr>
        <w:pStyle w:val="BodyText1"/>
        <w:spacing w:after="0" w:line="360" w:lineRule="auto"/>
        <w:jc w:val="both"/>
      </w:pPr>
      <w:r>
        <w:t xml:space="preserve">The CCS Mid-tier contract </w:t>
      </w:r>
      <w:r w:rsidR="0093038B">
        <w:t xml:space="preserve">and certain schedules, as listed on the </w:t>
      </w:r>
      <w:r w:rsidR="00F477DF">
        <w:t xml:space="preserve">draft </w:t>
      </w:r>
      <w:r w:rsidR="0093038B">
        <w:t xml:space="preserve">contract award document, </w:t>
      </w:r>
      <w:r>
        <w:t>will be utilised for this engagement</w:t>
      </w:r>
      <w:r w:rsidR="000F6CDF">
        <w:t>.</w:t>
      </w:r>
    </w:p>
    <w:p w14:paraId="12023A62" w14:textId="48C8811E" w:rsidR="002147DD" w:rsidRPr="002147DD" w:rsidRDefault="0A9DC5A4" w:rsidP="00DF644D">
      <w:pPr>
        <w:pStyle w:val="Heading1"/>
        <w:numPr>
          <w:ilvl w:val="0"/>
          <w:numId w:val="0"/>
        </w:numPr>
      </w:pPr>
      <w:bookmarkStart w:id="12" w:name="_Toc201061297"/>
      <w:r>
        <w:lastRenderedPageBreak/>
        <w:t xml:space="preserve">11. </w:t>
      </w:r>
      <w:r w:rsidR="002147DD">
        <w:t>How to respond to this opportunity</w:t>
      </w:r>
      <w:bookmarkEnd w:id="12"/>
    </w:p>
    <w:p w14:paraId="7A8687CE" w14:textId="30D20522" w:rsidR="002147DD" w:rsidRDefault="00BB1360" w:rsidP="00B003D3">
      <w:pPr>
        <w:pStyle w:val="BodyText1"/>
        <w:spacing w:after="0" w:line="360" w:lineRule="auto"/>
        <w:jc w:val="both"/>
      </w:pPr>
      <w:r>
        <w:t xml:space="preserve">Responses should be made via email to </w:t>
      </w:r>
      <w:hyperlink r:id="rId17">
        <w:r w:rsidR="00564EF6" w:rsidRPr="7C92C8FB">
          <w:rPr>
            <w:rStyle w:val="Hyperlink"/>
          </w:rPr>
          <w:t>procurement@londonciv.org.uk</w:t>
        </w:r>
      </w:hyperlink>
      <w:r w:rsidR="00564EF6">
        <w:t xml:space="preserve"> Responses in printed form will not be accepted.</w:t>
      </w:r>
    </w:p>
    <w:p w14:paraId="3C52F4D5" w14:textId="77777777" w:rsidR="00A9005C" w:rsidRDefault="00A9005C" w:rsidP="00B003D3">
      <w:pPr>
        <w:pStyle w:val="BodyText1"/>
        <w:spacing w:after="0" w:line="360" w:lineRule="auto"/>
        <w:jc w:val="both"/>
      </w:pPr>
    </w:p>
    <w:p w14:paraId="3DFE967E" w14:textId="31B538D4" w:rsidR="00A9005C" w:rsidRDefault="00C5747A" w:rsidP="00B003D3">
      <w:pPr>
        <w:pStyle w:val="BodyText1"/>
        <w:spacing w:after="0" w:line="360" w:lineRule="auto"/>
        <w:jc w:val="both"/>
      </w:pPr>
      <w:r>
        <w:t>All emails must be prefixed with P00225 and the relevant Lot number</w:t>
      </w:r>
      <w:r w:rsidR="00F86993">
        <w:t>(s)</w:t>
      </w:r>
      <w:r w:rsidR="00202585">
        <w:t xml:space="preserve">, </w:t>
      </w:r>
      <w:proofErr w:type="spellStart"/>
      <w:r w:rsidR="00202585">
        <w:t>eg</w:t>
      </w:r>
      <w:proofErr w:type="spellEnd"/>
      <w:r w:rsidR="00202585">
        <w:t>:</w:t>
      </w:r>
    </w:p>
    <w:p w14:paraId="6523AA99" w14:textId="582D247A" w:rsidR="00202585" w:rsidRDefault="00202585" w:rsidP="00B003D3">
      <w:pPr>
        <w:pStyle w:val="BodyText1"/>
        <w:spacing w:after="0" w:line="360" w:lineRule="auto"/>
        <w:jc w:val="both"/>
      </w:pPr>
      <w:r>
        <w:t>POO</w:t>
      </w:r>
      <w:r w:rsidR="002B2468">
        <w:t>225 L1</w:t>
      </w:r>
    </w:p>
    <w:p w14:paraId="6057612C" w14:textId="1346AC96" w:rsidR="002B2468" w:rsidRDefault="002B2468" w:rsidP="00B003D3">
      <w:pPr>
        <w:pStyle w:val="BodyText1"/>
        <w:spacing w:after="0" w:line="360" w:lineRule="auto"/>
        <w:jc w:val="both"/>
      </w:pPr>
      <w:r>
        <w:t>POO225 L1, L2 etc</w:t>
      </w:r>
    </w:p>
    <w:p w14:paraId="47BC1BE1" w14:textId="77777777" w:rsidR="002B2468" w:rsidRDefault="002B2468" w:rsidP="00B003D3">
      <w:pPr>
        <w:pStyle w:val="BodyText1"/>
        <w:spacing w:after="0" w:line="360" w:lineRule="auto"/>
        <w:jc w:val="both"/>
      </w:pPr>
    </w:p>
    <w:p w14:paraId="6A67DB22" w14:textId="4DE7CE8A" w:rsidR="002B2468" w:rsidRDefault="002B2468" w:rsidP="00B003D3">
      <w:pPr>
        <w:pStyle w:val="BodyText1"/>
        <w:spacing w:after="0" w:line="360" w:lineRule="auto"/>
        <w:jc w:val="both"/>
      </w:pPr>
      <w:r>
        <w:t xml:space="preserve">This is to ensure that they are </w:t>
      </w:r>
      <w:r w:rsidR="008779DD">
        <w:t xml:space="preserve">routed </w:t>
      </w:r>
      <w:r>
        <w:t>appropriately on receipt.</w:t>
      </w:r>
    </w:p>
    <w:p w14:paraId="1614F19C" w14:textId="63103C22" w:rsidR="00DF644D" w:rsidRPr="008B2806" w:rsidRDefault="4C004805" w:rsidP="00470B13">
      <w:pPr>
        <w:pStyle w:val="Heading1"/>
        <w:numPr>
          <w:ilvl w:val="0"/>
          <w:numId w:val="0"/>
        </w:numPr>
      </w:pPr>
      <w:bookmarkStart w:id="13" w:name="_Toc201061298"/>
      <w:r>
        <w:lastRenderedPageBreak/>
        <w:t xml:space="preserve">12. </w:t>
      </w:r>
      <w:r w:rsidR="00DF644D" w:rsidRPr="008B2806">
        <w:t>Requests for clarification</w:t>
      </w:r>
      <w:bookmarkEnd w:id="13"/>
      <w:r w:rsidR="00DF644D" w:rsidRPr="008B2806">
        <w:t xml:space="preserve"> </w:t>
      </w:r>
    </w:p>
    <w:p w14:paraId="72125AAD" w14:textId="6E4D7606" w:rsidR="00960ACE" w:rsidRDefault="00DF644D" w:rsidP="003E3D85">
      <w:pPr>
        <w:pStyle w:val="BodyText1"/>
        <w:spacing w:after="0" w:line="360" w:lineRule="auto"/>
        <w:jc w:val="both"/>
      </w:pPr>
      <w:r>
        <w:t xml:space="preserve">Any requests for clarification relating to the Procurement must be submitted via </w:t>
      </w:r>
      <w:r w:rsidR="00564EF6">
        <w:t>email</w:t>
      </w:r>
      <w:r>
        <w:t xml:space="preserve">, no later than the deadline in the Procurement </w:t>
      </w:r>
      <w:r w:rsidR="006965BC">
        <w:t>T</w:t>
      </w:r>
      <w:r>
        <w:t xml:space="preserve">imetable at paragraph </w:t>
      </w:r>
      <w:r w:rsidR="003E3D85">
        <w:t>7</w:t>
      </w:r>
      <w:r>
        <w:t xml:space="preserve"> above to allow the Authority sufficient time to respond prior to the closing date for receipt of submissions. The Authority will endeavour to respond to requests for clarification submitted in accordance with these requirements as soon as possible.</w:t>
      </w:r>
    </w:p>
    <w:p w14:paraId="3C85A63E" w14:textId="10DA045B" w:rsidR="00DF644D" w:rsidRDefault="00DF644D" w:rsidP="003E3D85">
      <w:pPr>
        <w:pStyle w:val="BodyText1"/>
        <w:spacing w:after="0" w:line="360" w:lineRule="auto"/>
        <w:jc w:val="both"/>
      </w:pPr>
    </w:p>
    <w:p w14:paraId="6E4777AE" w14:textId="16E5D986" w:rsidR="00DF644D" w:rsidRDefault="00DF644D" w:rsidP="003E3D85">
      <w:pPr>
        <w:pStyle w:val="BodyText1"/>
        <w:spacing w:after="0" w:line="360" w:lineRule="auto"/>
        <w:jc w:val="both"/>
      </w:pPr>
      <w:r>
        <w:t xml:space="preserve">The Authority reserves the right not to answer any requests for clarification submitted after the deadline set out in the </w:t>
      </w:r>
      <w:r w:rsidR="006965BC">
        <w:t>Procurement Timet</w:t>
      </w:r>
      <w:r>
        <w:t>able at paragraph [1</w:t>
      </w:r>
      <w:r w:rsidR="001D5311">
        <w:t>8</w:t>
      </w:r>
      <w:r>
        <w:t xml:space="preserve">] above or submitted via any means other than </w:t>
      </w:r>
      <w:r w:rsidR="001D5311">
        <w:t>via email</w:t>
      </w:r>
      <w:r>
        <w:t>.</w:t>
      </w:r>
    </w:p>
    <w:p w14:paraId="4EC2EC0D" w14:textId="77777777" w:rsidR="00960ACE" w:rsidRDefault="00960ACE" w:rsidP="003E3D85">
      <w:pPr>
        <w:pStyle w:val="BodyText1"/>
        <w:spacing w:after="0" w:line="360" w:lineRule="auto"/>
        <w:jc w:val="both"/>
      </w:pPr>
    </w:p>
    <w:p w14:paraId="46C74246" w14:textId="4D13D88F" w:rsidR="00DF644D" w:rsidRDefault="00DF644D" w:rsidP="003E3D85">
      <w:pPr>
        <w:pStyle w:val="BodyText1"/>
        <w:spacing w:after="0" w:line="360" w:lineRule="auto"/>
        <w:jc w:val="both"/>
      </w:pPr>
      <w:r>
        <w:t xml:space="preserve">If Suppliers identify a technical issue with the </w:t>
      </w:r>
      <w:r w:rsidR="001D5311">
        <w:t>procurement email address</w:t>
      </w:r>
      <w:r>
        <w:t>, they should contact the Authority without delay via the following contact point at:</w:t>
      </w:r>
    </w:p>
    <w:p w14:paraId="2233D87E" w14:textId="77777777" w:rsidR="00990C04" w:rsidRDefault="00990C04" w:rsidP="003E3D85">
      <w:pPr>
        <w:pStyle w:val="BodyText1"/>
        <w:spacing w:after="0" w:line="360" w:lineRule="auto"/>
        <w:jc w:val="both"/>
      </w:pPr>
    </w:p>
    <w:p w14:paraId="65465F34" w14:textId="14683A2A" w:rsidR="00DF644D" w:rsidRDefault="001D5311" w:rsidP="003E3D85">
      <w:pPr>
        <w:pStyle w:val="BodyText1"/>
        <w:spacing w:after="0" w:line="360" w:lineRule="auto"/>
        <w:ind w:left="720"/>
        <w:jc w:val="both"/>
      </w:pPr>
      <w:r>
        <w:t>Ian Inglis</w:t>
      </w:r>
      <w:r w:rsidR="6C6C8429">
        <w:t>, Chief Technology &amp; Security Officer</w:t>
      </w:r>
    </w:p>
    <w:p w14:paraId="57BF3DAF" w14:textId="059E9604" w:rsidR="00DF644D" w:rsidRDefault="009333B9" w:rsidP="003E3D85">
      <w:pPr>
        <w:pStyle w:val="BodyText1"/>
        <w:spacing w:after="0" w:line="360" w:lineRule="auto"/>
        <w:ind w:left="720"/>
        <w:jc w:val="both"/>
      </w:pPr>
      <w:hyperlink r:id="rId18" w:history="1">
        <w:r w:rsidRPr="00CC5FAC">
          <w:rPr>
            <w:rStyle w:val="Hyperlink"/>
          </w:rPr>
          <w:t>ian.inglis@londonciv.org.uk</w:t>
        </w:r>
      </w:hyperlink>
    </w:p>
    <w:p w14:paraId="11C82E2E" w14:textId="77777777" w:rsidR="009333B9" w:rsidRDefault="009333B9" w:rsidP="003E3D85">
      <w:pPr>
        <w:pStyle w:val="BodyText1"/>
        <w:spacing w:after="0" w:line="360" w:lineRule="auto"/>
        <w:jc w:val="both"/>
      </w:pPr>
    </w:p>
    <w:p w14:paraId="0680CAB4" w14:textId="77777777" w:rsidR="005768FC" w:rsidRDefault="00DF644D" w:rsidP="003E3D85">
      <w:pPr>
        <w:pStyle w:val="BodyText1"/>
        <w:spacing w:after="0" w:line="360" w:lineRule="auto"/>
        <w:jc w:val="both"/>
      </w:pPr>
      <w:r>
        <w:t>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w:t>
      </w:r>
    </w:p>
    <w:p w14:paraId="5EAE3CB6" w14:textId="0AD6A194" w:rsidR="00DF644D" w:rsidRDefault="00DF644D" w:rsidP="003E3D85">
      <w:pPr>
        <w:pStyle w:val="BodyText1"/>
        <w:spacing w:after="0" w:line="360" w:lineRule="auto"/>
        <w:jc w:val="both"/>
      </w:pPr>
    </w:p>
    <w:p w14:paraId="6521C977" w14:textId="77777777" w:rsidR="00FB3CBD" w:rsidRDefault="00DF644D" w:rsidP="003E3D85">
      <w:pPr>
        <w:pStyle w:val="BodyText1"/>
        <w:spacing w:after="0" w:line="360" w:lineRule="auto"/>
        <w:jc w:val="both"/>
      </w:pPr>
      <w:r>
        <w:t>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w:t>
      </w:r>
    </w:p>
    <w:p w14:paraId="5D5BFFA9" w14:textId="67017192" w:rsidR="00DF644D" w:rsidRDefault="00DF644D" w:rsidP="003E3D85">
      <w:pPr>
        <w:pStyle w:val="BodyText1"/>
        <w:spacing w:after="0" w:line="360" w:lineRule="auto"/>
        <w:jc w:val="both"/>
      </w:pPr>
    </w:p>
    <w:p w14:paraId="05D039E5" w14:textId="77777777" w:rsidR="003E3D85" w:rsidRDefault="00DF644D" w:rsidP="003E3D85">
      <w:pPr>
        <w:pStyle w:val="BodyText1"/>
        <w:spacing w:after="0" w:line="360" w:lineRule="auto"/>
        <w:jc w:val="both"/>
      </w:pPr>
      <w:r>
        <w:t xml:space="preserve">In such circumstances, the Supplier may either submit an amended request for the clarification to be treated as confidential, which would be considered by the Authority in the </w:t>
      </w:r>
      <w:r>
        <w:lastRenderedPageBreak/>
        <w:t>same manner as the original request or raise a new request to be treated as a non-confidential request for clarification.</w:t>
      </w:r>
    </w:p>
    <w:p w14:paraId="2D6BE5AA" w14:textId="3D6EE0D4" w:rsidR="00DF644D" w:rsidRDefault="00DF644D" w:rsidP="003E3D85">
      <w:pPr>
        <w:pStyle w:val="BodyText1"/>
        <w:spacing w:after="0" w:line="360" w:lineRule="auto"/>
        <w:jc w:val="both"/>
      </w:pPr>
    </w:p>
    <w:p w14:paraId="1F567A7C" w14:textId="77777777" w:rsidR="00DF644D" w:rsidRPr="00DF644D" w:rsidRDefault="00DF644D" w:rsidP="003E3D85">
      <w:pPr>
        <w:pStyle w:val="BodyText1"/>
        <w:spacing w:after="0" w:line="360" w:lineRule="auto"/>
        <w:jc w:val="both"/>
      </w:pPr>
      <w:r>
        <w:t>It is the responsibility of each Supplier to monitor all clarifications issued by the Authority. The Authority accepts no liability for any Supplier's failure to keep abreast of clarifications issued.</w:t>
      </w:r>
    </w:p>
    <w:p w14:paraId="53A5A4B6" w14:textId="6D318635" w:rsidR="002147DD" w:rsidRPr="002147DD" w:rsidRDefault="3D2A3240" w:rsidP="00DF644D">
      <w:pPr>
        <w:pStyle w:val="Heading1"/>
        <w:numPr>
          <w:ilvl w:val="0"/>
          <w:numId w:val="0"/>
        </w:numPr>
      </w:pPr>
      <w:bookmarkStart w:id="14" w:name="_Toc201061299"/>
      <w:r>
        <w:lastRenderedPageBreak/>
        <w:t xml:space="preserve">13. </w:t>
      </w:r>
      <w:r w:rsidR="6DDF4A5C">
        <w:t>The assessment process and award criteria</w:t>
      </w:r>
      <w:bookmarkEnd w:id="14"/>
    </w:p>
    <w:p w14:paraId="1DC7687A" w14:textId="77777777" w:rsidR="00BA7643" w:rsidRDefault="00BA7643" w:rsidP="00BA7643">
      <w:pPr>
        <w:pStyle w:val="BodyText1"/>
        <w:jc w:val="both"/>
      </w:pPr>
      <w:r>
        <w:t>13.1 Overview</w:t>
      </w:r>
    </w:p>
    <w:p w14:paraId="42FE18A4" w14:textId="77777777" w:rsidR="00BA7643" w:rsidRDefault="00BA7643" w:rsidP="00BA7643">
      <w:pPr>
        <w:pStyle w:val="BodyText1"/>
        <w:jc w:val="both"/>
      </w:pPr>
      <w:r>
        <w:t>The procurement will follow a Competitive Flexible Procedure under the Procurement Act 2023. The assessment will be conducted in two stages:</w:t>
      </w:r>
    </w:p>
    <w:p w14:paraId="1CFA241E" w14:textId="77777777" w:rsidR="00BA7643" w:rsidRDefault="00BA7643" w:rsidP="00BA7643">
      <w:pPr>
        <w:pStyle w:val="BodyText1"/>
        <w:jc w:val="both"/>
      </w:pPr>
      <w:r>
        <w:t>Stage 1 – Selection (PSQ): A Pre-Selection Questionnaire (PSQ) will be issued for each Lot. Suppliers must meet all mandatory requirements to progress.</w:t>
      </w:r>
    </w:p>
    <w:p w14:paraId="490B082A" w14:textId="77777777" w:rsidR="00BA7643" w:rsidRDefault="00BA7643" w:rsidP="00BA7643">
      <w:pPr>
        <w:pStyle w:val="BodyText1"/>
        <w:jc w:val="both"/>
      </w:pPr>
      <w:r>
        <w:t>Stage 2 – Award (ITN): Shortlisted suppliers will be invited to respond to the Invitation to Negotiate (ITN). Evaluation will be based on quality and price.</w:t>
      </w:r>
    </w:p>
    <w:p w14:paraId="3F8184D7" w14:textId="77777777" w:rsidR="00BA7643" w:rsidRDefault="00BA7643" w:rsidP="00BA7643">
      <w:pPr>
        <w:pStyle w:val="BodyText1"/>
        <w:jc w:val="both"/>
      </w:pPr>
      <w:r>
        <w:t>Each Lot will be evaluated independently. Suppliers may bid for one, multiple, or all Lots. Bids for specific services within a Lot must clearly identify scope and demonstrate ability to meet all relevant requirements.</w:t>
      </w:r>
    </w:p>
    <w:p w14:paraId="044A97CF" w14:textId="77777777" w:rsidR="00BA7643" w:rsidRDefault="00BA7643" w:rsidP="00BA7643">
      <w:pPr>
        <w:pStyle w:val="BodyText1"/>
        <w:jc w:val="both"/>
      </w:pPr>
    </w:p>
    <w:p w14:paraId="103638C1" w14:textId="77777777" w:rsidR="003F6A98" w:rsidRDefault="003F6A98" w:rsidP="003F6A98">
      <w:pPr>
        <w:pStyle w:val="BodyText1"/>
        <w:jc w:val="both"/>
      </w:pPr>
      <w:r>
        <w:t>13.2 Evaluation by Lot</w:t>
      </w:r>
    </w:p>
    <w:p w14:paraId="32613B09" w14:textId="77777777" w:rsidR="003F6A98" w:rsidRDefault="003F6A98" w:rsidP="003F6A98">
      <w:pPr>
        <w:pStyle w:val="BodyText1"/>
        <w:jc w:val="both"/>
      </w:pPr>
      <w:r>
        <w:t>Lot 1 – Core Services</w:t>
      </w:r>
    </w:p>
    <w:p w14:paraId="648CD68B" w14:textId="77777777" w:rsidR="003F6A98" w:rsidRDefault="003F6A98" w:rsidP="003F6A98">
      <w:pPr>
        <w:pStyle w:val="BodyText1"/>
        <w:jc w:val="both"/>
      </w:pPr>
      <w:r>
        <w:t>Stage 1 – PSQ Assessment (Pass/Fail)</w:t>
      </w:r>
    </w:p>
    <w:p w14:paraId="0A0F7FBF" w14:textId="27EEDFB1" w:rsidR="003F6A98" w:rsidRDefault="003F6A98" w:rsidP="003F6A98">
      <w:pPr>
        <w:pStyle w:val="BodyText1"/>
        <w:jc w:val="both"/>
      </w:pPr>
      <w:r>
        <w:t>Suppliers must meet all mandatory PSQ criteria, including company background, financial stability, and regulatory compliance.</w:t>
      </w:r>
      <w:r w:rsidR="00D1740B">
        <w:t xml:space="preserve"> Section 18 of the PSQ covering Technical Ability will assess </w:t>
      </w:r>
      <w:proofErr w:type="gramStart"/>
      <w:r w:rsidR="00D1740B">
        <w:t>suppliers</w:t>
      </w:r>
      <w:proofErr w:type="gramEnd"/>
      <w:r w:rsidR="00D1740B">
        <w:t xml:space="preserve"> capability and capacity to deliver the requirements outlined in</w:t>
      </w:r>
      <w:r w:rsidR="03EB76F1">
        <w:t xml:space="preserve"> Appendix B</w:t>
      </w:r>
      <w:r w:rsidR="00D1740B">
        <w:t xml:space="preserve"> </w:t>
      </w:r>
      <w:r w:rsidR="005E17C8">
        <w:t>Suppl</w:t>
      </w:r>
      <w:r w:rsidR="007A462E">
        <w:t xml:space="preserve">iers scores will be ranked and the </w:t>
      </w:r>
      <w:r w:rsidR="00725A9D">
        <w:t xml:space="preserve">3 </w:t>
      </w:r>
      <w:r w:rsidR="007A462E">
        <w:t>top ranking</w:t>
      </w:r>
      <w:r w:rsidR="00241B29">
        <w:t xml:space="preserve"> </w:t>
      </w:r>
      <w:r w:rsidR="007A462E">
        <w:t>suppliers will be invited to partici</w:t>
      </w:r>
      <w:r w:rsidR="00031EBB">
        <w:t>p</w:t>
      </w:r>
      <w:r w:rsidR="007A462E">
        <w:t>ate in Stage 2.</w:t>
      </w:r>
    </w:p>
    <w:p w14:paraId="32533C15" w14:textId="77777777" w:rsidR="003F6A98" w:rsidRDefault="003F6A98" w:rsidP="003F6A98">
      <w:pPr>
        <w:pStyle w:val="BodyText1"/>
        <w:jc w:val="both"/>
      </w:pPr>
      <w:r>
        <w:t>Stage 2 – ITN Evaluation</w:t>
      </w:r>
    </w:p>
    <w:p w14:paraId="05FC3F7C" w14:textId="77777777" w:rsidR="003F6A98" w:rsidRDefault="003F6A98" w:rsidP="003F6A98">
      <w:pPr>
        <w:pStyle w:val="BodyText1"/>
        <w:jc w:val="both"/>
      </w:pPr>
      <w:r>
        <w:t>Criterion</w:t>
      </w:r>
      <w:r>
        <w:tab/>
        <w:t>Weighting</w:t>
      </w:r>
    </w:p>
    <w:p w14:paraId="391C1964" w14:textId="473693BD" w:rsidR="003F6A98" w:rsidRDefault="003F6A98" w:rsidP="003F6A98">
      <w:pPr>
        <w:pStyle w:val="BodyText1"/>
        <w:jc w:val="both"/>
      </w:pPr>
      <w:r>
        <w:t>Quality</w:t>
      </w:r>
      <w:r>
        <w:tab/>
        <w:t>70%</w:t>
      </w:r>
    </w:p>
    <w:p w14:paraId="381D6D62" w14:textId="0D3406ED" w:rsidR="00BA7643" w:rsidRDefault="003F6A98" w:rsidP="003F6A98">
      <w:pPr>
        <w:pStyle w:val="BodyText1"/>
        <w:jc w:val="both"/>
      </w:pPr>
      <w:r>
        <w:t>Price</w:t>
      </w:r>
      <w:r>
        <w:tab/>
      </w:r>
      <w:r>
        <w:tab/>
        <w:t>30%</w:t>
      </w:r>
    </w:p>
    <w:p w14:paraId="6B3CF66A" w14:textId="551922B2" w:rsidR="0043216C" w:rsidRDefault="0043216C" w:rsidP="0043216C">
      <w:pPr>
        <w:pStyle w:val="BodyText1"/>
        <w:jc w:val="both"/>
      </w:pPr>
      <w:r>
        <w:t>Quality Sub-Criterion</w:t>
      </w:r>
      <w:r>
        <w:tab/>
      </w:r>
      <w:r>
        <w:tab/>
      </w:r>
      <w:r>
        <w:tab/>
        <w:t>Weight</w:t>
      </w:r>
    </w:p>
    <w:p w14:paraId="1CC63DDE" w14:textId="7A5B113B" w:rsidR="0043216C" w:rsidRDefault="0043216C" w:rsidP="0043216C">
      <w:pPr>
        <w:pStyle w:val="BodyText1"/>
        <w:jc w:val="both"/>
      </w:pPr>
      <w:r>
        <w:t>Depository</w:t>
      </w:r>
      <w:r>
        <w:tab/>
      </w:r>
      <w:r>
        <w:tab/>
      </w:r>
      <w:r>
        <w:tab/>
      </w:r>
      <w:r>
        <w:tab/>
      </w:r>
      <w:r>
        <w:tab/>
        <w:t>15%</w:t>
      </w:r>
    </w:p>
    <w:p w14:paraId="7C401CC6" w14:textId="11B26B16" w:rsidR="0043216C" w:rsidRDefault="0043216C" w:rsidP="0043216C">
      <w:pPr>
        <w:pStyle w:val="BodyText1"/>
        <w:jc w:val="both"/>
      </w:pPr>
      <w:r>
        <w:t>Custody</w:t>
      </w:r>
      <w:r>
        <w:tab/>
      </w:r>
      <w:r>
        <w:tab/>
      </w:r>
      <w:r>
        <w:tab/>
      </w:r>
      <w:r>
        <w:tab/>
      </w:r>
      <w:r>
        <w:tab/>
        <w:t>15%</w:t>
      </w:r>
    </w:p>
    <w:p w14:paraId="429CE1CC" w14:textId="3E4475F6" w:rsidR="0043216C" w:rsidRDefault="0043216C" w:rsidP="0043216C">
      <w:pPr>
        <w:pStyle w:val="BodyText1"/>
        <w:jc w:val="both"/>
      </w:pPr>
      <w:r>
        <w:t>Withholding Tax</w:t>
      </w:r>
      <w:r>
        <w:tab/>
      </w:r>
      <w:r>
        <w:tab/>
      </w:r>
      <w:r>
        <w:tab/>
      </w:r>
      <w:r>
        <w:tab/>
        <w:t>15%</w:t>
      </w:r>
    </w:p>
    <w:p w14:paraId="178F3158" w14:textId="23F83A9E" w:rsidR="0043216C" w:rsidRDefault="0043216C" w:rsidP="0043216C">
      <w:pPr>
        <w:pStyle w:val="BodyText1"/>
        <w:jc w:val="both"/>
      </w:pPr>
      <w:r>
        <w:t>Fund Administration</w:t>
      </w:r>
      <w:r>
        <w:tab/>
      </w:r>
      <w:r>
        <w:tab/>
      </w:r>
      <w:r>
        <w:tab/>
      </w:r>
      <w:r>
        <w:tab/>
        <w:t>15%</w:t>
      </w:r>
    </w:p>
    <w:p w14:paraId="6B64B576" w14:textId="13389DE6" w:rsidR="0043216C" w:rsidRDefault="0043216C" w:rsidP="0043216C">
      <w:pPr>
        <w:pStyle w:val="BodyText1"/>
        <w:jc w:val="both"/>
      </w:pPr>
      <w:r>
        <w:lastRenderedPageBreak/>
        <w:t>Transfer Agency</w:t>
      </w:r>
      <w:r>
        <w:tab/>
      </w:r>
      <w:r>
        <w:tab/>
      </w:r>
      <w:r>
        <w:tab/>
      </w:r>
      <w:r>
        <w:tab/>
        <w:t>15%</w:t>
      </w:r>
    </w:p>
    <w:p w14:paraId="11926E6D" w14:textId="77777777" w:rsidR="0043216C" w:rsidRDefault="0043216C" w:rsidP="0043216C">
      <w:pPr>
        <w:pStyle w:val="BodyText1"/>
        <w:jc w:val="both"/>
      </w:pPr>
      <w:r>
        <w:t>Investment Operations (Current State)</w:t>
      </w:r>
      <w:r>
        <w:tab/>
        <w:t>15%</w:t>
      </w:r>
    </w:p>
    <w:p w14:paraId="116FD526" w14:textId="70CB0746" w:rsidR="00BA7643" w:rsidRDefault="0043216C" w:rsidP="0043216C">
      <w:pPr>
        <w:pStyle w:val="BodyText1"/>
        <w:jc w:val="both"/>
      </w:pPr>
      <w:r>
        <w:t>General</w:t>
      </w:r>
      <w:r>
        <w:tab/>
      </w:r>
      <w:r>
        <w:tab/>
      </w:r>
      <w:r>
        <w:tab/>
      </w:r>
      <w:r>
        <w:tab/>
      </w:r>
      <w:r>
        <w:tab/>
        <w:t>10%</w:t>
      </w:r>
    </w:p>
    <w:p w14:paraId="4433FA61" w14:textId="77777777" w:rsidR="00A77AD2" w:rsidRDefault="00A77AD2" w:rsidP="006932D7">
      <w:pPr>
        <w:pStyle w:val="BodyText1"/>
        <w:jc w:val="both"/>
      </w:pPr>
    </w:p>
    <w:p w14:paraId="1B92364C" w14:textId="77777777" w:rsidR="000758E0" w:rsidRDefault="000758E0" w:rsidP="000758E0">
      <w:pPr>
        <w:pStyle w:val="BodyText1"/>
        <w:jc w:val="both"/>
      </w:pPr>
      <w:r>
        <w:t>Lot 2 – Client Reporting Services</w:t>
      </w:r>
    </w:p>
    <w:p w14:paraId="6B742CAB" w14:textId="77777777" w:rsidR="000758E0" w:rsidRDefault="000758E0" w:rsidP="000758E0">
      <w:pPr>
        <w:pStyle w:val="BodyText1"/>
        <w:jc w:val="both"/>
      </w:pPr>
      <w:r>
        <w:t>Stage 1 – PSQ Assessment (Pass/Fail)</w:t>
      </w:r>
    </w:p>
    <w:p w14:paraId="23412B64" w14:textId="35F22289" w:rsidR="00B00517" w:rsidRDefault="000758E0" w:rsidP="00B00517">
      <w:pPr>
        <w:pStyle w:val="BodyText1"/>
        <w:jc w:val="both"/>
      </w:pPr>
      <w:r>
        <w:t>Suppliers must meet all mandatory PSQ criteria.</w:t>
      </w:r>
      <w:r w:rsidR="00B00517">
        <w:t xml:space="preserve"> Section 18 of the PSQ covering Technical Ability will assess </w:t>
      </w:r>
      <w:proofErr w:type="gramStart"/>
      <w:r w:rsidR="00B00517">
        <w:t>suppliers</w:t>
      </w:r>
      <w:proofErr w:type="gramEnd"/>
      <w:r w:rsidR="00B00517">
        <w:t xml:space="preserve"> capability and capacity to deliver the requirements outlined in </w:t>
      </w:r>
      <w:r w:rsidR="49470D56">
        <w:t>Appendix B</w:t>
      </w:r>
      <w:r w:rsidR="00B00517">
        <w:t xml:space="preserve">. Suppliers scores will be ranked and the top ranking </w:t>
      </w:r>
      <w:r w:rsidR="00F8690F">
        <w:t>2</w:t>
      </w:r>
      <w:r w:rsidR="00B00517">
        <w:t xml:space="preserve"> suppliers will be invited to partici</w:t>
      </w:r>
      <w:r w:rsidR="3D9006F8">
        <w:t>p</w:t>
      </w:r>
      <w:r w:rsidR="00B00517">
        <w:t>ate in Stage 2</w:t>
      </w:r>
      <w:r w:rsidR="00F8690F">
        <w:t xml:space="preserve"> alongside those invited to participate in stage 2 of lot 1</w:t>
      </w:r>
      <w:r w:rsidR="00B00517">
        <w:t>.</w:t>
      </w:r>
    </w:p>
    <w:p w14:paraId="62E290C8" w14:textId="162A5AF2" w:rsidR="000758E0" w:rsidRDefault="000758E0" w:rsidP="000758E0">
      <w:pPr>
        <w:pStyle w:val="BodyText1"/>
        <w:jc w:val="both"/>
      </w:pPr>
    </w:p>
    <w:p w14:paraId="31BEBDC0" w14:textId="77777777" w:rsidR="000758E0" w:rsidRDefault="000758E0" w:rsidP="000758E0">
      <w:pPr>
        <w:pStyle w:val="BodyText1"/>
        <w:jc w:val="both"/>
      </w:pPr>
      <w:r>
        <w:t>Stage 2 – ITN Evaluation</w:t>
      </w:r>
    </w:p>
    <w:p w14:paraId="0AA614D7" w14:textId="77777777" w:rsidR="000758E0" w:rsidRDefault="000758E0" w:rsidP="000758E0">
      <w:pPr>
        <w:pStyle w:val="BodyText1"/>
        <w:jc w:val="both"/>
      </w:pPr>
      <w:r>
        <w:t>Criterion</w:t>
      </w:r>
      <w:r>
        <w:tab/>
        <w:t>Weighting</w:t>
      </w:r>
    </w:p>
    <w:p w14:paraId="207A39C6" w14:textId="77777777" w:rsidR="000758E0" w:rsidRDefault="000758E0" w:rsidP="000758E0">
      <w:pPr>
        <w:pStyle w:val="BodyText1"/>
        <w:jc w:val="both"/>
      </w:pPr>
      <w:r>
        <w:t>Quality</w:t>
      </w:r>
      <w:r>
        <w:tab/>
        <w:t>70%</w:t>
      </w:r>
    </w:p>
    <w:p w14:paraId="3B53BD8F" w14:textId="2DA3C95D" w:rsidR="003F6A98" w:rsidRDefault="000758E0" w:rsidP="000758E0">
      <w:pPr>
        <w:pStyle w:val="BodyText1"/>
        <w:jc w:val="both"/>
      </w:pPr>
      <w:r>
        <w:t>Price</w:t>
      </w:r>
      <w:r>
        <w:tab/>
      </w:r>
      <w:r>
        <w:tab/>
        <w:t>30%</w:t>
      </w:r>
    </w:p>
    <w:p w14:paraId="3E212344" w14:textId="77777777" w:rsidR="000758E0" w:rsidRDefault="000758E0" w:rsidP="000758E0">
      <w:pPr>
        <w:pStyle w:val="BodyText1"/>
        <w:jc w:val="both"/>
      </w:pPr>
    </w:p>
    <w:p w14:paraId="2FC1275D" w14:textId="77777777" w:rsidR="00696334" w:rsidRDefault="00696334" w:rsidP="00696334">
      <w:pPr>
        <w:pStyle w:val="BodyText1"/>
        <w:jc w:val="both"/>
      </w:pPr>
      <w:r>
        <w:t>Quality Sub-Criterion</w:t>
      </w:r>
      <w:r>
        <w:tab/>
        <w:t>Weight</w:t>
      </w:r>
    </w:p>
    <w:p w14:paraId="200FE544" w14:textId="1F7C14AF" w:rsidR="00696334" w:rsidRDefault="00696334" w:rsidP="00696334">
      <w:pPr>
        <w:pStyle w:val="BodyText1"/>
        <w:jc w:val="both"/>
      </w:pPr>
      <w:r>
        <w:t>Client Reporting</w:t>
      </w:r>
      <w:r>
        <w:tab/>
      </w:r>
      <w:r>
        <w:tab/>
        <w:t>90%</w:t>
      </w:r>
    </w:p>
    <w:p w14:paraId="02CC4D1A" w14:textId="15143E16" w:rsidR="00A77AD2" w:rsidRDefault="00696334" w:rsidP="00696334">
      <w:pPr>
        <w:pStyle w:val="BodyText1"/>
        <w:jc w:val="both"/>
      </w:pPr>
      <w:r>
        <w:t>General</w:t>
      </w:r>
      <w:r>
        <w:tab/>
      </w:r>
      <w:r>
        <w:tab/>
      </w:r>
      <w:r>
        <w:tab/>
        <w:t>10%</w:t>
      </w:r>
    </w:p>
    <w:p w14:paraId="07CED60E" w14:textId="77777777" w:rsidR="00696334" w:rsidRDefault="00696334" w:rsidP="00696334">
      <w:pPr>
        <w:pStyle w:val="BodyText1"/>
        <w:jc w:val="both"/>
      </w:pPr>
    </w:p>
    <w:p w14:paraId="0D446A51" w14:textId="77777777" w:rsidR="001A05BB" w:rsidRDefault="001A05BB" w:rsidP="001A05BB">
      <w:pPr>
        <w:pStyle w:val="BodyText1"/>
        <w:jc w:val="both"/>
      </w:pPr>
      <w:r>
        <w:t>Lot 3 – Ancillary Services (if awarded)</w:t>
      </w:r>
    </w:p>
    <w:p w14:paraId="28BB4785" w14:textId="77777777" w:rsidR="001A05BB" w:rsidRDefault="001A05BB" w:rsidP="001A05BB">
      <w:pPr>
        <w:pStyle w:val="BodyText1"/>
        <w:jc w:val="both"/>
      </w:pPr>
      <w:r>
        <w:t>Suppliers may bid for individual components (e.g. performance, compliance) but must fully define the scope covered.</w:t>
      </w:r>
    </w:p>
    <w:p w14:paraId="23012152" w14:textId="6E44E87A" w:rsidR="00B00517" w:rsidRDefault="001A05BB" w:rsidP="00B00517">
      <w:pPr>
        <w:pStyle w:val="BodyText1"/>
        <w:jc w:val="both"/>
      </w:pPr>
      <w:r>
        <w:t>Stage 1 – PSQ Assessment (Pass/Fail)</w:t>
      </w:r>
      <w:r w:rsidR="00B00517">
        <w:t xml:space="preserve">. Section 18 of the PSQ covering Technical Ability will assess </w:t>
      </w:r>
      <w:proofErr w:type="gramStart"/>
      <w:r w:rsidR="00B00517">
        <w:t>suppliers</w:t>
      </w:r>
      <w:proofErr w:type="gramEnd"/>
      <w:r w:rsidR="00B00517">
        <w:t xml:space="preserve"> capability and capacity to deliver the requirements outlined in </w:t>
      </w:r>
      <w:r w:rsidR="001E3713">
        <w:t>Appendix B</w:t>
      </w:r>
      <w:r w:rsidR="00B00517">
        <w:t xml:space="preserve">. Suppliers scores will be ranked and the top ranking </w:t>
      </w:r>
      <w:r w:rsidR="00F8690F">
        <w:t>2</w:t>
      </w:r>
      <w:r w:rsidR="00B00517">
        <w:t xml:space="preserve"> suppliers will be invited to partici</w:t>
      </w:r>
      <w:r w:rsidR="001E3713">
        <w:t>p</w:t>
      </w:r>
      <w:r w:rsidR="00B00517">
        <w:t>ate in Stage 2</w:t>
      </w:r>
      <w:r w:rsidR="00F8690F">
        <w:t xml:space="preserve"> alongside those invited to participate in stage 2 of lot 1</w:t>
      </w:r>
      <w:r w:rsidR="00B00517">
        <w:t>.</w:t>
      </w:r>
    </w:p>
    <w:p w14:paraId="07612267" w14:textId="7D68183C" w:rsidR="001A05BB" w:rsidRDefault="001A05BB" w:rsidP="001A05BB">
      <w:pPr>
        <w:pStyle w:val="BodyText1"/>
        <w:jc w:val="both"/>
      </w:pPr>
    </w:p>
    <w:p w14:paraId="25F4D1FA" w14:textId="77777777" w:rsidR="001E3713" w:rsidRDefault="001E3713" w:rsidP="001A05BB">
      <w:pPr>
        <w:pStyle w:val="BodyText1"/>
        <w:jc w:val="both"/>
      </w:pPr>
    </w:p>
    <w:p w14:paraId="6C798918" w14:textId="77777777" w:rsidR="001E3713" w:rsidRDefault="001E3713" w:rsidP="001A05BB">
      <w:pPr>
        <w:pStyle w:val="BodyText1"/>
        <w:jc w:val="both"/>
      </w:pPr>
    </w:p>
    <w:p w14:paraId="347177CD" w14:textId="77777777" w:rsidR="001A05BB" w:rsidRDefault="001A05BB" w:rsidP="001A05BB">
      <w:pPr>
        <w:pStyle w:val="BodyText1"/>
        <w:jc w:val="both"/>
      </w:pPr>
      <w:r>
        <w:lastRenderedPageBreak/>
        <w:t>Tailored to the service(s) included in the bid.</w:t>
      </w:r>
    </w:p>
    <w:p w14:paraId="294B8D1C" w14:textId="77777777" w:rsidR="001A05BB" w:rsidRDefault="001A05BB" w:rsidP="001A05BB">
      <w:pPr>
        <w:pStyle w:val="BodyText1"/>
        <w:jc w:val="both"/>
      </w:pPr>
      <w:r>
        <w:t>Stage 2 – ITN Evaluation</w:t>
      </w:r>
    </w:p>
    <w:p w14:paraId="5EA24133" w14:textId="77777777" w:rsidR="001A05BB" w:rsidRDefault="001A05BB" w:rsidP="001A05BB">
      <w:pPr>
        <w:pStyle w:val="BodyText1"/>
        <w:jc w:val="both"/>
      </w:pPr>
      <w:r>
        <w:t>Criterion</w:t>
      </w:r>
      <w:r>
        <w:tab/>
        <w:t>Weighting</w:t>
      </w:r>
    </w:p>
    <w:p w14:paraId="11AC23D6" w14:textId="77777777" w:rsidR="001A05BB" w:rsidRDefault="001A05BB" w:rsidP="001A05BB">
      <w:pPr>
        <w:pStyle w:val="BodyText1"/>
        <w:jc w:val="both"/>
      </w:pPr>
      <w:r>
        <w:t>Quality</w:t>
      </w:r>
      <w:r>
        <w:tab/>
        <w:t>60%</w:t>
      </w:r>
    </w:p>
    <w:p w14:paraId="3CD6E8C0" w14:textId="13E78836" w:rsidR="000758E0" w:rsidRDefault="001A05BB" w:rsidP="001A05BB">
      <w:pPr>
        <w:pStyle w:val="BodyText1"/>
        <w:jc w:val="both"/>
      </w:pPr>
      <w:r>
        <w:t>Price</w:t>
      </w:r>
      <w:r>
        <w:tab/>
        <w:t>40%</w:t>
      </w:r>
    </w:p>
    <w:p w14:paraId="1ECB0CAC" w14:textId="4F106C7B" w:rsidR="00B13FDB" w:rsidRDefault="00B13FDB" w:rsidP="00B13FDB">
      <w:pPr>
        <w:pStyle w:val="BodyText1"/>
        <w:jc w:val="both"/>
      </w:pPr>
      <w:r>
        <w:t>Quality Sub-Criterion</w:t>
      </w:r>
      <w:r>
        <w:tab/>
      </w:r>
      <w:r>
        <w:tab/>
      </w:r>
      <w:r>
        <w:tab/>
        <w:t>Weight</w:t>
      </w:r>
    </w:p>
    <w:p w14:paraId="6EB1EC96" w14:textId="24916FB5" w:rsidR="00B13FDB" w:rsidRDefault="00B13FDB" w:rsidP="00B13FDB">
      <w:pPr>
        <w:pStyle w:val="BodyText1"/>
        <w:jc w:val="both"/>
      </w:pPr>
      <w:r>
        <w:t>Performance Measurement &amp; Attribution</w:t>
      </w:r>
      <w:r>
        <w:tab/>
      </w:r>
      <w:r w:rsidR="00CC10A1">
        <w:t>9</w:t>
      </w:r>
      <w:r>
        <w:t>0%</w:t>
      </w:r>
    </w:p>
    <w:p w14:paraId="09569D3B" w14:textId="455F2190" w:rsidR="00CC10A1" w:rsidRDefault="00CC10A1" w:rsidP="00B13FDB">
      <w:pPr>
        <w:pStyle w:val="BodyText1"/>
        <w:jc w:val="both"/>
      </w:pPr>
      <w:r>
        <w:t>General</w:t>
      </w:r>
      <w:r>
        <w:tab/>
      </w:r>
      <w:r>
        <w:tab/>
      </w:r>
      <w:r>
        <w:tab/>
      </w:r>
      <w:r>
        <w:tab/>
      </w:r>
      <w:r>
        <w:tab/>
        <w:t>10%</w:t>
      </w:r>
    </w:p>
    <w:p w14:paraId="3ACE28FC" w14:textId="3813665D" w:rsidR="00B13FDB" w:rsidRDefault="00B13FDB" w:rsidP="00B13FDB">
      <w:pPr>
        <w:pStyle w:val="BodyText1"/>
        <w:jc w:val="both"/>
      </w:pPr>
      <w:r>
        <w:t>Fund Compliance &amp; Breach Monitoring</w:t>
      </w:r>
      <w:r>
        <w:tab/>
      </w:r>
      <w:r w:rsidR="00810C49">
        <w:t>9</w:t>
      </w:r>
      <w:r>
        <w:t>0%</w:t>
      </w:r>
    </w:p>
    <w:p w14:paraId="020D6910" w14:textId="6BA46D64" w:rsidR="001A05BB" w:rsidRDefault="00B13FDB" w:rsidP="00B13FDB">
      <w:pPr>
        <w:pStyle w:val="BodyText1"/>
        <w:jc w:val="both"/>
      </w:pPr>
      <w:r>
        <w:t>General</w:t>
      </w:r>
      <w:r>
        <w:tab/>
      </w:r>
      <w:r>
        <w:tab/>
      </w:r>
      <w:r>
        <w:tab/>
      </w:r>
      <w:r>
        <w:tab/>
      </w:r>
      <w:r>
        <w:tab/>
        <w:t>10%</w:t>
      </w:r>
    </w:p>
    <w:p w14:paraId="26205EC7" w14:textId="77777777" w:rsidR="00B13FDB" w:rsidRDefault="00B13FDB" w:rsidP="001A05BB">
      <w:pPr>
        <w:pStyle w:val="BodyText1"/>
        <w:jc w:val="both"/>
      </w:pPr>
    </w:p>
    <w:p w14:paraId="6E211C69" w14:textId="77777777" w:rsidR="00BD1BE8" w:rsidRDefault="00BD1BE8" w:rsidP="00BD1BE8">
      <w:pPr>
        <w:pStyle w:val="BodyText1"/>
        <w:jc w:val="both"/>
      </w:pPr>
      <w:r>
        <w:t>13.3 Final Scoring and Ranking</w:t>
      </w:r>
    </w:p>
    <w:p w14:paraId="65D89189" w14:textId="77777777" w:rsidR="006F5B40" w:rsidRDefault="006F5B40" w:rsidP="006F5B40">
      <w:pPr>
        <w:pStyle w:val="BodyText1"/>
        <w:jc w:val="both"/>
      </w:pPr>
      <w:r>
        <w:t>Each supplier’s final score will be calculated per Lot as follows:</w:t>
      </w:r>
    </w:p>
    <w:p w14:paraId="7861930F" w14:textId="77777777" w:rsidR="006F5B40" w:rsidRDefault="006F5B40" w:rsidP="006F5B40">
      <w:pPr>
        <w:pStyle w:val="BodyText1"/>
        <w:jc w:val="both"/>
      </w:pPr>
      <w:r>
        <w:t>Final Score = (Quality Score × Quality Weight) + (Price Score × Price Weight)</w:t>
      </w:r>
    </w:p>
    <w:p w14:paraId="6CA07842" w14:textId="77777777" w:rsidR="006F5B40" w:rsidRDefault="006F5B40" w:rsidP="006F5B40">
      <w:pPr>
        <w:pStyle w:val="BodyText1"/>
        <w:jc w:val="both"/>
      </w:pPr>
      <w:r>
        <w:t>Price scores will be calculated using a standardised model, with the lowest compliant bid receiving full marks.</w:t>
      </w:r>
    </w:p>
    <w:p w14:paraId="22CA22C6" w14:textId="77777777" w:rsidR="006F5B40" w:rsidRDefault="006F5B40" w:rsidP="006F5B40">
      <w:pPr>
        <w:pStyle w:val="BodyText1"/>
        <w:jc w:val="both"/>
      </w:pPr>
      <w:r>
        <w:t>Minimum quality thresholds may apply, and submissions failing to meet these may be excluded.</w:t>
      </w:r>
    </w:p>
    <w:p w14:paraId="105CC5A3" w14:textId="2F32A7E4" w:rsidR="00BD1BE8" w:rsidRDefault="006F5B40" w:rsidP="006F5B40">
      <w:pPr>
        <w:pStyle w:val="BodyText1"/>
        <w:jc w:val="both"/>
      </w:pPr>
      <w:r>
        <w:t>The highest ranked supplier in each Lot will be recommended for contract award, subject to internal governance approvals.</w:t>
      </w:r>
    </w:p>
    <w:p w14:paraId="16CB73C7" w14:textId="77777777" w:rsidR="00224CE8" w:rsidRDefault="00224CE8" w:rsidP="008B5F7E">
      <w:pPr>
        <w:pStyle w:val="BodyText1"/>
        <w:spacing w:after="0"/>
        <w:jc w:val="both"/>
      </w:pPr>
      <w:r>
        <w:t xml:space="preserve">London CIV reserves the right to refine specific award criteria during the Procurement. </w:t>
      </w:r>
    </w:p>
    <w:p w14:paraId="742C1558" w14:textId="77777777" w:rsidR="001E5C69" w:rsidRPr="008519EC" w:rsidRDefault="001E5C69" w:rsidP="008B5F7E">
      <w:pPr>
        <w:pStyle w:val="BodyText1"/>
        <w:spacing w:after="0"/>
        <w:jc w:val="both"/>
        <w:rPr>
          <w:rFonts w:ascii="Lato Light" w:hAnsi="Lato Light"/>
          <w:sz w:val="22"/>
          <w:szCs w:val="22"/>
        </w:rPr>
      </w:pPr>
    </w:p>
    <w:p w14:paraId="03EBE94D" w14:textId="7DC3BFE3" w:rsidR="008936A7" w:rsidRDefault="008936A7" w:rsidP="008B5F7E">
      <w:pPr>
        <w:pStyle w:val="BodyText1"/>
        <w:spacing w:after="0"/>
        <w:jc w:val="both"/>
      </w:pPr>
      <w:r w:rsidRPr="003E3D85">
        <w:t xml:space="preserve">The assessment criteria will be </w:t>
      </w:r>
      <w:r w:rsidR="008C3C24" w:rsidRPr="003E3D85">
        <w:t xml:space="preserve">scored individually and aggregated into a composite </w:t>
      </w:r>
      <w:r w:rsidR="005475C5" w:rsidRPr="003E3D85">
        <w:t>score used to rank potential suppliers.</w:t>
      </w:r>
    </w:p>
    <w:p w14:paraId="429CDD53" w14:textId="77777777" w:rsidR="001E5C69" w:rsidRDefault="001E5C69" w:rsidP="008B5F7E">
      <w:pPr>
        <w:pStyle w:val="BodyText1"/>
        <w:spacing w:after="0"/>
        <w:jc w:val="both"/>
        <w:rPr>
          <w:rFonts w:ascii="Lato Light" w:hAnsi="Lato Light"/>
          <w:sz w:val="22"/>
          <w:szCs w:val="22"/>
        </w:rPr>
      </w:pPr>
    </w:p>
    <w:p w14:paraId="72A6F839" w14:textId="59FB1647" w:rsidR="00DD22F2" w:rsidRDefault="00DD22F2" w:rsidP="008B5F7E">
      <w:pPr>
        <w:pStyle w:val="BodyText1"/>
        <w:spacing w:after="0"/>
        <w:jc w:val="both"/>
      </w:pPr>
      <w:r w:rsidRPr="003E3D85">
        <w:t xml:space="preserve">London </w:t>
      </w:r>
      <w:r w:rsidR="00F80506" w:rsidRPr="003E3D85">
        <w:t>C</w:t>
      </w:r>
      <w:r w:rsidRPr="003E3D85">
        <w:t xml:space="preserve">IV will inform </w:t>
      </w:r>
      <w:r w:rsidR="00F80506" w:rsidRPr="003E3D85">
        <w:t>Suppliers of the outcome of the assessment</w:t>
      </w:r>
      <w:r w:rsidR="00F81C86" w:rsidRPr="003E3D85">
        <w:t xml:space="preserve"> of their submissions and the composite score achieved by the </w:t>
      </w:r>
      <w:r w:rsidR="00CA5445" w:rsidRPr="003E3D85">
        <w:t>winning Supplier.</w:t>
      </w:r>
      <w:r w:rsidR="00F80506" w:rsidRPr="003E3D85">
        <w:t xml:space="preserve"> </w:t>
      </w:r>
    </w:p>
    <w:p w14:paraId="1615DB26" w14:textId="77777777" w:rsidR="001E5C69" w:rsidRDefault="001E5C69" w:rsidP="008B5F7E">
      <w:pPr>
        <w:pStyle w:val="BodyText1"/>
        <w:spacing w:after="0"/>
        <w:jc w:val="both"/>
        <w:rPr>
          <w:rFonts w:ascii="Lato Light" w:hAnsi="Lato Light"/>
          <w:sz w:val="22"/>
          <w:szCs w:val="22"/>
        </w:rPr>
      </w:pPr>
    </w:p>
    <w:p w14:paraId="3FC1CF62" w14:textId="77777777" w:rsidR="00C50F60" w:rsidRDefault="005475C5" w:rsidP="008B5F7E">
      <w:pPr>
        <w:pStyle w:val="BodyText1"/>
        <w:spacing w:after="0"/>
        <w:jc w:val="both"/>
      </w:pPr>
      <w:r w:rsidRPr="003E3D85">
        <w:t xml:space="preserve">London CIV </w:t>
      </w:r>
      <w:r w:rsidR="004B1212" w:rsidRPr="003E3D85">
        <w:t xml:space="preserve">reserves the right </w:t>
      </w:r>
      <w:r w:rsidR="00215280" w:rsidRPr="003E3D85">
        <w:t xml:space="preserve">to seek clarification from Suppliers </w:t>
      </w:r>
      <w:r w:rsidR="008E222C" w:rsidRPr="003E3D85">
        <w:t>where information submitted appears to be incomplete or erroneous or where specific elements or documents are missing.</w:t>
      </w:r>
    </w:p>
    <w:p w14:paraId="2FBFAD40" w14:textId="77777777" w:rsidR="001E5C69" w:rsidRDefault="001E5C69" w:rsidP="008B5F7E">
      <w:pPr>
        <w:pStyle w:val="BodyText1"/>
        <w:spacing w:after="0"/>
        <w:jc w:val="both"/>
        <w:rPr>
          <w:rFonts w:ascii="Lato Light" w:hAnsi="Lato Light"/>
          <w:sz w:val="22"/>
          <w:szCs w:val="22"/>
        </w:rPr>
      </w:pPr>
    </w:p>
    <w:p w14:paraId="650D9A0C" w14:textId="77777777" w:rsidR="0063289B" w:rsidRDefault="00C50F60" w:rsidP="008B5F7E">
      <w:pPr>
        <w:pStyle w:val="BodyText1"/>
        <w:spacing w:after="0"/>
        <w:jc w:val="both"/>
        <w:rPr>
          <w:rFonts w:ascii="Lato Light" w:hAnsi="Lato Light"/>
          <w:sz w:val="22"/>
          <w:szCs w:val="22"/>
        </w:rPr>
      </w:pPr>
      <w:r w:rsidRPr="003E3D85">
        <w:t>London CIV reserves the right to request that Suppliers submit, supplement</w:t>
      </w:r>
      <w:r w:rsidR="0063289B" w:rsidRPr="003E3D85">
        <w:t>, clarify or complete the information or documentation provided.</w:t>
      </w:r>
    </w:p>
    <w:p w14:paraId="43520F37" w14:textId="4426E213" w:rsidR="002147DD" w:rsidRPr="00133337" w:rsidRDefault="002147DD" w:rsidP="00DF644D">
      <w:pPr>
        <w:pStyle w:val="Heading1"/>
        <w:numPr>
          <w:ilvl w:val="0"/>
          <w:numId w:val="0"/>
        </w:numPr>
      </w:pPr>
      <w:bookmarkStart w:id="15" w:name="_Toc201061300"/>
      <w:r>
        <w:lastRenderedPageBreak/>
        <w:t>Appendix A: Procurement terms and conditions</w:t>
      </w:r>
      <w:bookmarkEnd w:id="15"/>
    </w:p>
    <w:p w14:paraId="3E1E8BCB" w14:textId="77777777" w:rsidR="00DF644D" w:rsidRPr="002D5063" w:rsidRDefault="00DF644D" w:rsidP="005963DA">
      <w:pPr>
        <w:pStyle w:val="Heading2"/>
        <w:numPr>
          <w:ilvl w:val="0"/>
          <w:numId w:val="0"/>
        </w:numPr>
      </w:pPr>
      <w:bookmarkStart w:id="16" w:name="_Toc201061301"/>
      <w:r w:rsidRPr="002D5063">
        <w:t>Procedural requirements</w:t>
      </w:r>
      <w:bookmarkEnd w:id="16"/>
    </w:p>
    <w:p w14:paraId="34E5CA48" w14:textId="77777777" w:rsidR="00DF644D" w:rsidRDefault="00DF644D" w:rsidP="00514717">
      <w:pPr>
        <w:pStyle w:val="BodyText1"/>
        <w:numPr>
          <w:ilvl w:val="0"/>
          <w:numId w:val="6"/>
        </w:numPr>
        <w:ind w:left="357" w:hanging="357"/>
        <w:jc w:val="both"/>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14717">
      <w:pPr>
        <w:pStyle w:val="Heading2"/>
        <w:numPr>
          <w:ilvl w:val="0"/>
          <w:numId w:val="0"/>
        </w:numPr>
        <w:jc w:val="both"/>
      </w:pPr>
      <w:bookmarkStart w:id="17" w:name="_Toc201061302"/>
      <w:r>
        <w:t>Central Digital Platform</w:t>
      </w:r>
      <w:bookmarkEnd w:id="17"/>
    </w:p>
    <w:p w14:paraId="57301456" w14:textId="77777777" w:rsidR="00DF644D" w:rsidRDefault="00DF644D" w:rsidP="00514717">
      <w:pPr>
        <w:pStyle w:val="BodyText1"/>
        <w:numPr>
          <w:ilvl w:val="0"/>
          <w:numId w:val="6"/>
        </w:numPr>
        <w:ind w:left="357" w:hanging="357"/>
        <w:jc w:val="both"/>
      </w:pPr>
      <w: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Default="00DF644D" w:rsidP="00514717">
      <w:pPr>
        <w:pStyle w:val="Heading3"/>
        <w:jc w:val="both"/>
      </w:pPr>
      <w:r>
        <w:t>Transparency</w:t>
      </w:r>
    </w:p>
    <w:p w14:paraId="2784F713" w14:textId="77777777" w:rsidR="00DF644D" w:rsidRDefault="00DF644D" w:rsidP="00514717">
      <w:pPr>
        <w:pStyle w:val="BodyText1"/>
        <w:numPr>
          <w:ilvl w:val="0"/>
          <w:numId w:val="6"/>
        </w:numPr>
        <w:ind w:left="357" w:hanging="357"/>
        <w:jc w:val="both"/>
      </w:pPr>
      <w: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6462BF67" w:rsidR="00DF644D" w:rsidRPr="003E0EF6" w:rsidRDefault="00DF644D" w:rsidP="29886B9C">
      <w:pPr>
        <w:pStyle w:val="BodyText1"/>
        <w:numPr>
          <w:ilvl w:val="0"/>
          <w:numId w:val="6"/>
        </w:numPr>
        <w:spacing w:line="259" w:lineRule="auto"/>
        <w:ind w:left="357" w:hanging="357"/>
        <w:jc w:val="both"/>
      </w:pPr>
      <w: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Default="00DF644D" w:rsidP="002039BF">
      <w:pPr>
        <w:pStyle w:val="Heading2"/>
        <w:numPr>
          <w:ilvl w:val="0"/>
          <w:numId w:val="0"/>
        </w:numPr>
        <w:jc w:val="both"/>
      </w:pPr>
      <w:bookmarkStart w:id="18" w:name="_Toc201061303"/>
      <w:r>
        <w:t>Modifying the Procurement</w:t>
      </w:r>
      <w:bookmarkEnd w:id="18"/>
    </w:p>
    <w:p w14:paraId="168A724E" w14:textId="77777777" w:rsidR="00DF644D" w:rsidRDefault="00DF644D" w:rsidP="002039BF">
      <w:pPr>
        <w:pStyle w:val="BodyText1"/>
        <w:numPr>
          <w:ilvl w:val="0"/>
          <w:numId w:val="6"/>
        </w:numPr>
        <w:ind w:left="357" w:hanging="357"/>
        <w:jc w:val="both"/>
      </w:pPr>
      <w:r>
        <w:t>Neither the Tender Notice, this document nor any information given as part of the Procurement shall be regarded as a commitment or representation on the part of the Authority (or any other person) to enter into a contractual agreement.</w:t>
      </w:r>
    </w:p>
    <w:p w14:paraId="584FD634" w14:textId="2F317E7F" w:rsidR="00DF644D" w:rsidRDefault="00DF644D" w:rsidP="002039BF">
      <w:pPr>
        <w:pStyle w:val="BodyText1"/>
        <w:numPr>
          <w:ilvl w:val="0"/>
          <w:numId w:val="6"/>
        </w:numPr>
        <w:ind w:left="357" w:hanging="357"/>
        <w:jc w:val="both"/>
      </w:pPr>
      <w:r>
        <w:t>The Authority reserves the right to cancel the Procurement at any point and/or to choose not to award any contract [or lot] as a result of this Procurement. Any decision by the Authority not to award a lot does not prevent the Authority from awarding the remaining lots.</w:t>
      </w:r>
    </w:p>
    <w:p w14:paraId="09D967C1" w14:textId="77777777" w:rsidR="00DF644D" w:rsidRDefault="00DF644D" w:rsidP="002039BF">
      <w:pPr>
        <w:pStyle w:val="BodyText1"/>
        <w:numPr>
          <w:ilvl w:val="0"/>
          <w:numId w:val="6"/>
        </w:numPr>
        <w:ind w:left="357" w:hanging="357"/>
        <w:jc w:val="both"/>
      </w:pPr>
      <w:r>
        <w:lastRenderedPageBreak/>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Default="00DF644D" w:rsidP="002039BF">
      <w:pPr>
        <w:pStyle w:val="BodyText1"/>
        <w:numPr>
          <w:ilvl w:val="0"/>
          <w:numId w:val="6"/>
        </w:numPr>
        <w:ind w:left="357" w:hanging="357"/>
        <w:jc w:val="both"/>
      </w:pPr>
      <w:r>
        <w:t>The Authority reserves the right at any time:</w:t>
      </w:r>
    </w:p>
    <w:p w14:paraId="3C59D75F" w14:textId="76954C13" w:rsidR="00DF644D" w:rsidRDefault="00DF644D" w:rsidP="002039BF">
      <w:pPr>
        <w:pStyle w:val="BodyText1"/>
        <w:ind w:left="714" w:hanging="357"/>
        <w:jc w:val="both"/>
      </w:pPr>
      <w:r>
        <w:t>a.</w:t>
      </w:r>
      <w:r>
        <w:tab/>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77777777" w:rsidR="00DF644D" w:rsidRDefault="00DF644D" w:rsidP="002039BF">
      <w:pPr>
        <w:pStyle w:val="BodyText1"/>
        <w:ind w:left="714" w:hanging="357"/>
        <w:jc w:val="both"/>
      </w:pPr>
      <w:r>
        <w:t>b.</w:t>
      </w:r>
      <w: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Default="00DF644D" w:rsidP="002039BF">
      <w:pPr>
        <w:pStyle w:val="BodyText1"/>
        <w:ind w:left="714" w:hanging="357"/>
        <w:jc w:val="both"/>
      </w:pPr>
      <w:r>
        <w:t>c.</w:t>
      </w:r>
      <w:r>
        <w:tab/>
        <w:t xml:space="preserve">to alter the Procurement Timetable for this Procurement [including the right to award different lots at different times] </w:t>
      </w:r>
    </w:p>
    <w:p w14:paraId="28FB32DC" w14:textId="77777777" w:rsidR="00DF644D" w:rsidRDefault="00DF644D" w:rsidP="002039BF">
      <w:pPr>
        <w:pStyle w:val="BodyText1"/>
        <w:ind w:left="714" w:hanging="357"/>
        <w:jc w:val="both"/>
      </w:pPr>
      <w:r>
        <w:t>d.</w:t>
      </w:r>
      <w:r>
        <w:tab/>
        <w:t>to rewind and re-run any part of the Procurement on the same or alternative basis</w:t>
      </w:r>
    </w:p>
    <w:p w14:paraId="47DAE6DB" w14:textId="77777777" w:rsidR="00DF644D" w:rsidRDefault="00DF644D" w:rsidP="002039BF">
      <w:pPr>
        <w:pStyle w:val="BodyText1"/>
        <w:ind w:left="714" w:hanging="357"/>
        <w:jc w:val="both"/>
      </w:pPr>
      <w:r>
        <w:t>e.</w:t>
      </w:r>
      <w:r>
        <w:tab/>
        <w:t>to amend the Procurement as described herein, including the number of stages and the number of Suppliers to be selected at any stage</w:t>
      </w:r>
    </w:p>
    <w:p w14:paraId="33D73D98" w14:textId="77777777" w:rsidR="00DF644D" w:rsidRDefault="00DF644D" w:rsidP="002039BF">
      <w:pPr>
        <w:pStyle w:val="Heading2"/>
        <w:numPr>
          <w:ilvl w:val="0"/>
          <w:numId w:val="0"/>
        </w:numPr>
        <w:jc w:val="both"/>
      </w:pPr>
      <w:bookmarkStart w:id="19" w:name="_Toc201061304"/>
      <w:r>
        <w:t>Option to direct award</w:t>
      </w:r>
      <w:bookmarkEnd w:id="19"/>
    </w:p>
    <w:p w14:paraId="6362C87C" w14:textId="471AE1B0" w:rsidR="002D5063" w:rsidRPr="002D5063" w:rsidRDefault="00A71D93" w:rsidP="002039BF">
      <w:pPr>
        <w:pStyle w:val="BodyText1"/>
        <w:numPr>
          <w:ilvl w:val="0"/>
          <w:numId w:val="6"/>
        </w:numPr>
        <w:ind w:left="357" w:hanging="357"/>
        <w:jc w:val="both"/>
      </w:pPr>
      <w:r>
        <w:t xml:space="preserve"> The Authority does not expect to issue a direct award for this procurement</w:t>
      </w:r>
    </w:p>
    <w:p w14:paraId="5FB215D6" w14:textId="77777777" w:rsidR="00DF644D" w:rsidRDefault="00DF644D" w:rsidP="002039BF">
      <w:pPr>
        <w:pStyle w:val="Heading2"/>
        <w:numPr>
          <w:ilvl w:val="0"/>
          <w:numId w:val="0"/>
        </w:numPr>
        <w:jc w:val="both"/>
      </w:pPr>
      <w:bookmarkStart w:id="20" w:name="_Toc201061305"/>
      <w:r>
        <w:t>Confidentiality and publicity</w:t>
      </w:r>
      <w:bookmarkEnd w:id="20"/>
    </w:p>
    <w:p w14:paraId="4DFC95F2" w14:textId="77777777" w:rsidR="00DF644D" w:rsidRDefault="00DF644D" w:rsidP="002039BF">
      <w:pPr>
        <w:pStyle w:val="BodyText1"/>
        <w:numPr>
          <w:ilvl w:val="0"/>
          <w:numId w:val="6"/>
        </w:numPr>
        <w:ind w:left="357" w:hanging="357"/>
        <w:jc w:val="both"/>
      </w:pPr>
      <w: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Default="00DF644D" w:rsidP="002039BF">
      <w:pPr>
        <w:pStyle w:val="BodyText1"/>
        <w:numPr>
          <w:ilvl w:val="0"/>
          <w:numId w:val="6"/>
        </w:numPr>
        <w:ind w:left="357" w:hanging="357"/>
        <w:jc w:val="both"/>
      </w:pPr>
      <w:r>
        <w:t>Suppliers must not take part in any publicity activities with any part of the media about this Procurement without obtaining the express prior written agreement of the Authority.</w:t>
      </w:r>
      <w:r w:rsidR="003F6CC0">
        <w:t xml:space="preserve"> </w:t>
      </w:r>
      <w:r>
        <w:t>When requesting prior written agreement, Suppliers are required to detail the proposed media coverage including format and content of any publicity.</w:t>
      </w:r>
    </w:p>
    <w:p w14:paraId="2975A332" w14:textId="77777777" w:rsidR="00DF644D" w:rsidRDefault="00DF644D" w:rsidP="002039BF">
      <w:pPr>
        <w:pStyle w:val="Heading3"/>
        <w:jc w:val="both"/>
      </w:pPr>
      <w:r>
        <w:t>Non-disclosure agreement</w:t>
      </w:r>
    </w:p>
    <w:p w14:paraId="21028BDC" w14:textId="4B231296" w:rsidR="00DF644D" w:rsidRDefault="00DF644D" w:rsidP="002039BF">
      <w:pPr>
        <w:pStyle w:val="BodyText1"/>
        <w:numPr>
          <w:ilvl w:val="0"/>
          <w:numId w:val="6"/>
        </w:numPr>
        <w:ind w:left="357" w:hanging="357"/>
        <w:jc w:val="both"/>
      </w:pPr>
      <w:r>
        <w:t xml:space="preserve">Suppliers shortlisted to participate in the initial tender stage of this Procurement </w:t>
      </w:r>
      <w:r w:rsidR="000F375B">
        <w:t xml:space="preserve">may </w:t>
      </w:r>
      <w:r>
        <w:t xml:space="preserve">be required to sign and return the non-disclosure agreement in accordance with the instructions provided therein. </w:t>
      </w:r>
      <w:r w:rsidR="00D2673A">
        <w:t xml:space="preserve">If required, a </w:t>
      </w:r>
      <w:r>
        <w:t xml:space="preserve">copy of the non-disclosure agreement </w:t>
      </w:r>
      <w:r w:rsidR="005B6F39">
        <w:t>w</w:t>
      </w:r>
      <w:r w:rsidR="00A137E3">
        <w:t xml:space="preserve">ill be provided alongside the </w:t>
      </w:r>
      <w:r w:rsidR="006F4334">
        <w:t>Invitation to Tender</w:t>
      </w:r>
      <w:r>
        <w:t>. Any Supplier that fails to comply with this requirement may be disqualified from the Procurement at the sole discretion of the Authority.</w:t>
      </w:r>
    </w:p>
    <w:p w14:paraId="79BC3077" w14:textId="77777777" w:rsidR="00DF644D" w:rsidRDefault="00DF644D" w:rsidP="002039BF">
      <w:pPr>
        <w:pStyle w:val="Heading3"/>
        <w:jc w:val="both"/>
      </w:pPr>
      <w:r>
        <w:lastRenderedPageBreak/>
        <w:t xml:space="preserve">Freedom of information and environmental information </w:t>
      </w:r>
    </w:p>
    <w:p w14:paraId="439C3240" w14:textId="77777777" w:rsidR="00DF644D" w:rsidRDefault="00DF644D" w:rsidP="002039BF">
      <w:pPr>
        <w:pStyle w:val="BodyText1"/>
        <w:numPr>
          <w:ilvl w:val="0"/>
          <w:numId w:val="6"/>
        </w:numPr>
        <w:ind w:left="357" w:hanging="357"/>
        <w:jc w:val="both"/>
      </w:pPr>
      <w: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Default="00DF644D" w:rsidP="002039BF">
      <w:pPr>
        <w:pStyle w:val="BodyText1"/>
        <w:numPr>
          <w:ilvl w:val="0"/>
          <w:numId w:val="6"/>
        </w:numPr>
        <w:ind w:left="357" w:hanging="357"/>
        <w:jc w:val="both"/>
      </w:pPr>
      <w:r>
        <w:t>In respect of any information submitted by a Supplier that it considers to be commercially sensitive, the Supplier should:</w:t>
      </w:r>
    </w:p>
    <w:p w14:paraId="7D33FFE2" w14:textId="77777777" w:rsidR="00DF644D" w:rsidRDefault="00DF644D" w:rsidP="002039BF">
      <w:pPr>
        <w:pStyle w:val="BodyText1"/>
        <w:ind w:left="714" w:hanging="357"/>
        <w:jc w:val="both"/>
      </w:pPr>
      <w:r>
        <w:t>a.</w:t>
      </w:r>
      <w:r>
        <w:tab/>
        <w:t>clearly identify which information is considered commercially sensitive and complete the table contained within Appendix H</w:t>
      </w:r>
    </w:p>
    <w:p w14:paraId="4EEC84C0" w14:textId="77777777" w:rsidR="00DF644D" w:rsidRDefault="00DF644D" w:rsidP="00587ABF">
      <w:pPr>
        <w:pStyle w:val="BodyText1"/>
        <w:ind w:left="714" w:hanging="357"/>
        <w:jc w:val="both"/>
      </w:pPr>
      <w:r>
        <w:t>b.</w:t>
      </w:r>
      <w:r>
        <w:tab/>
      </w:r>
      <w:proofErr w:type="gramStart"/>
      <w:r>
        <w:t>explain</w:t>
      </w:r>
      <w:proofErr w:type="gramEnd"/>
      <w:r>
        <w:t xml:space="preserve"> the potential implications of disclosure of such information </w:t>
      </w:r>
    </w:p>
    <w:p w14:paraId="62AD9922" w14:textId="77777777" w:rsidR="00DF644D" w:rsidRDefault="00DF644D" w:rsidP="00587ABF">
      <w:pPr>
        <w:pStyle w:val="BodyText1"/>
        <w:ind w:left="714" w:hanging="357"/>
        <w:jc w:val="both"/>
      </w:pPr>
      <w:r>
        <w:t>c.</w:t>
      </w:r>
      <w:r>
        <w:tab/>
      </w:r>
      <w:proofErr w:type="gramStart"/>
      <w:r>
        <w:t>provide</w:t>
      </w:r>
      <w:proofErr w:type="gramEnd"/>
      <w:r>
        <w:t xml:space="preserve"> an estimate of the period of time for which the Supplier considers that such information will remain commercially sensitive</w:t>
      </w:r>
    </w:p>
    <w:p w14:paraId="38D88FF5" w14:textId="77777777" w:rsidR="00DF644D" w:rsidRDefault="00DF644D" w:rsidP="00587ABF">
      <w:pPr>
        <w:pStyle w:val="BodyText1"/>
        <w:numPr>
          <w:ilvl w:val="0"/>
          <w:numId w:val="6"/>
        </w:numPr>
        <w:ind w:left="357" w:hanging="357"/>
        <w:jc w:val="both"/>
      </w:pPr>
      <w:r>
        <w:t>The Authority will endeavour to:</w:t>
      </w:r>
    </w:p>
    <w:p w14:paraId="67178557" w14:textId="77777777" w:rsidR="00DF644D" w:rsidRDefault="00DF644D" w:rsidP="00587ABF">
      <w:pPr>
        <w:pStyle w:val="BodyText1"/>
        <w:ind w:left="714" w:hanging="357"/>
        <w:jc w:val="both"/>
      </w:pPr>
      <w:r>
        <w:t>a.</w:t>
      </w:r>
      <w:r>
        <w:tab/>
      </w:r>
      <w:proofErr w:type="gramStart"/>
      <w:r>
        <w:t>hold</w:t>
      </w:r>
      <w:proofErr w:type="gramEnd"/>
      <w:r>
        <w:t xml:space="preserve"> confidential all information submitted by a Supplier that it identifies as being commercially sensitive</w:t>
      </w:r>
    </w:p>
    <w:p w14:paraId="0C63448F" w14:textId="77777777" w:rsidR="00DF644D" w:rsidRDefault="00DF644D" w:rsidP="00587ABF">
      <w:pPr>
        <w:pStyle w:val="BodyText1"/>
        <w:ind w:left="714" w:hanging="357"/>
        <w:jc w:val="both"/>
      </w:pPr>
      <w:r>
        <w:t>b.</w:t>
      </w:r>
      <w:r>
        <w:tab/>
      </w:r>
      <w:proofErr w:type="gramStart"/>
      <w:r>
        <w:t>consult</w:t>
      </w:r>
      <w:proofErr w:type="gramEnd"/>
      <w:r>
        <w:t xml:space="preserve"> with a Supplier about commercially sensitive information before </w:t>
      </w:r>
      <w:proofErr w:type="gramStart"/>
      <w:r>
        <w:t>making a decision</w:t>
      </w:r>
      <w:proofErr w:type="gramEnd"/>
      <w:r>
        <w:t xml:space="preserve"> on any FOIA requests and EIR requests received </w:t>
      </w:r>
    </w:p>
    <w:p w14:paraId="5749CF48" w14:textId="77777777" w:rsidR="00DF644D" w:rsidRDefault="00DF644D" w:rsidP="00587ABF">
      <w:pPr>
        <w:pStyle w:val="BodyText1"/>
        <w:numPr>
          <w:ilvl w:val="0"/>
          <w:numId w:val="6"/>
        </w:numPr>
        <w:ind w:left="357" w:hanging="357"/>
        <w:jc w:val="both"/>
      </w:pPr>
      <w: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Default="00DF644D" w:rsidP="00587ABF">
      <w:pPr>
        <w:pStyle w:val="Heading2"/>
        <w:numPr>
          <w:ilvl w:val="0"/>
          <w:numId w:val="0"/>
        </w:numPr>
        <w:jc w:val="both"/>
      </w:pPr>
      <w:bookmarkStart w:id="21" w:name="_Toc201061306"/>
      <w:r>
        <w:t>Requirements on sub-contractors and consortium</w:t>
      </w:r>
      <w:bookmarkEnd w:id="21"/>
    </w:p>
    <w:p w14:paraId="6C23AD6B" w14:textId="77777777" w:rsidR="00DF644D" w:rsidRDefault="00DF644D" w:rsidP="00587ABF">
      <w:pPr>
        <w:pStyle w:val="BodyText1"/>
        <w:numPr>
          <w:ilvl w:val="0"/>
          <w:numId w:val="6"/>
        </w:numPr>
        <w:ind w:left="357" w:hanging="357"/>
        <w:jc w:val="both"/>
      </w:pPr>
      <w: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77777777" w:rsidR="00DF644D" w:rsidRDefault="00DF644D" w:rsidP="00587ABF">
      <w:pPr>
        <w:pStyle w:val="Heading2"/>
        <w:numPr>
          <w:ilvl w:val="0"/>
          <w:numId w:val="0"/>
        </w:numPr>
        <w:jc w:val="both"/>
      </w:pPr>
      <w:bookmarkStart w:id="22" w:name="_Toc201061307"/>
      <w:r>
        <w:t>Parent company guarantee or other securities</w:t>
      </w:r>
      <w:bookmarkEnd w:id="22"/>
    </w:p>
    <w:p w14:paraId="15156B6E" w14:textId="2C036127" w:rsidR="00DF644D" w:rsidRDefault="00DF644D" w:rsidP="00587ABF">
      <w:pPr>
        <w:pStyle w:val="BodyText1"/>
        <w:numPr>
          <w:ilvl w:val="0"/>
          <w:numId w:val="6"/>
        </w:numPr>
        <w:ind w:left="357" w:hanging="357"/>
        <w:jc w:val="both"/>
      </w:pPr>
      <w:r>
        <w:t>The Authority reserves the right to require a parent company guarantee or alternative equivalent form of security should the Supplier be successful in this Procurement.</w:t>
      </w:r>
    </w:p>
    <w:p w14:paraId="71C72895" w14:textId="77777777" w:rsidR="00DF644D" w:rsidRDefault="00DF644D" w:rsidP="00587ABF">
      <w:pPr>
        <w:pStyle w:val="BodyText1"/>
        <w:numPr>
          <w:ilvl w:val="0"/>
          <w:numId w:val="6"/>
        </w:numPr>
        <w:ind w:left="357" w:hanging="357"/>
        <w:jc w:val="both"/>
      </w:pPr>
      <w: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Default="00DF644D" w:rsidP="00587ABF">
      <w:pPr>
        <w:pStyle w:val="BodyText1"/>
        <w:numPr>
          <w:ilvl w:val="0"/>
          <w:numId w:val="6"/>
        </w:numPr>
        <w:ind w:left="357" w:hanging="357"/>
        <w:jc w:val="both"/>
      </w:pPr>
      <w:r>
        <w:lastRenderedPageBreak/>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Default="00DF644D" w:rsidP="00587ABF">
      <w:pPr>
        <w:pStyle w:val="Heading2"/>
        <w:numPr>
          <w:ilvl w:val="0"/>
          <w:numId w:val="0"/>
        </w:numPr>
        <w:jc w:val="both"/>
      </w:pPr>
      <w:bookmarkStart w:id="23" w:name="_Toc201061308"/>
      <w:r>
        <w:t>Non-collusion, non-canvassing</w:t>
      </w:r>
      <w:bookmarkEnd w:id="23"/>
    </w:p>
    <w:p w14:paraId="37B43A6D" w14:textId="77777777" w:rsidR="00DF644D" w:rsidRDefault="00DF644D" w:rsidP="00587ABF">
      <w:pPr>
        <w:pStyle w:val="BodyText1"/>
        <w:numPr>
          <w:ilvl w:val="0"/>
          <w:numId w:val="6"/>
        </w:numPr>
        <w:ind w:left="357" w:hanging="357"/>
        <w:jc w:val="both"/>
      </w:pPr>
      <w: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Default="00DF644D" w:rsidP="00587ABF">
      <w:pPr>
        <w:pStyle w:val="BodyText1"/>
        <w:numPr>
          <w:ilvl w:val="0"/>
          <w:numId w:val="6"/>
        </w:numPr>
        <w:ind w:left="357" w:hanging="357"/>
        <w:jc w:val="both"/>
      </w:pPr>
      <w:r>
        <w:t>Specifically, Suppliers must not directly or indirectly at any time:</w:t>
      </w:r>
    </w:p>
    <w:p w14:paraId="59CEC553" w14:textId="77777777" w:rsidR="00DF644D" w:rsidRDefault="00DF644D" w:rsidP="00587ABF">
      <w:pPr>
        <w:pStyle w:val="BodyText1"/>
        <w:ind w:left="714" w:hanging="357"/>
        <w:jc w:val="both"/>
      </w:pPr>
      <w:r>
        <w:t>a.</w:t>
      </w:r>
      <w: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Default="00DF644D" w:rsidP="00587ABF">
      <w:pPr>
        <w:pStyle w:val="BodyText1"/>
        <w:ind w:left="714" w:hanging="357"/>
        <w:jc w:val="both"/>
      </w:pPr>
      <w:r>
        <w:t>b.</w:t>
      </w:r>
      <w:r>
        <w:tab/>
      </w:r>
      <w:proofErr w:type="gramStart"/>
      <w:r>
        <w:t>enter</w:t>
      </w:r>
      <w:proofErr w:type="gramEnd"/>
      <w: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Default="00DF644D" w:rsidP="00587ABF">
      <w:pPr>
        <w:pStyle w:val="BodyText1"/>
        <w:ind w:left="714" w:hanging="357"/>
        <w:jc w:val="both"/>
      </w:pPr>
      <w:r>
        <w:t>c.</w:t>
      </w:r>
      <w:r>
        <w:tab/>
      </w:r>
      <w:proofErr w:type="gramStart"/>
      <w:r>
        <w:t>enter</w:t>
      </w:r>
      <w:proofErr w:type="gramEnd"/>
      <w:r>
        <w:t xml:space="preserve"> into any agreement or arrangement with any other person that has the effect of prohibiting or excluding that person from submitting a response in this Procurement</w:t>
      </w:r>
    </w:p>
    <w:p w14:paraId="33D4EF49" w14:textId="77777777" w:rsidR="00DF644D" w:rsidRDefault="00DF644D" w:rsidP="00587ABF">
      <w:pPr>
        <w:pStyle w:val="BodyText1"/>
        <w:ind w:left="714" w:hanging="357"/>
        <w:jc w:val="both"/>
      </w:pPr>
      <w:r>
        <w:t>d.</w:t>
      </w:r>
      <w:r>
        <w:tab/>
      </w:r>
      <w:proofErr w:type="gramStart"/>
      <w:r>
        <w:t>canvass</w:t>
      </w:r>
      <w:proofErr w:type="gramEnd"/>
      <w:r>
        <w:t xml:space="preserve"> any employees, members or agents of the Authority in relation to this Procurement</w:t>
      </w:r>
    </w:p>
    <w:p w14:paraId="0AEC8FCD" w14:textId="77777777" w:rsidR="00DF644D" w:rsidRDefault="00DF644D" w:rsidP="00587ABF">
      <w:pPr>
        <w:pStyle w:val="BodyText1"/>
        <w:ind w:left="714" w:hanging="357"/>
        <w:jc w:val="both"/>
      </w:pPr>
      <w:r>
        <w:t>e.</w:t>
      </w:r>
      <w:r>
        <w:tab/>
      </w:r>
      <w:proofErr w:type="gramStart"/>
      <w:r>
        <w:t>attempt</w:t>
      </w:r>
      <w:proofErr w:type="gramEnd"/>
      <w:r>
        <w:t xml:space="preserve"> to obtain information from any of the employees, members or agents of the Authority or their advisors concerning another Supplier or submission</w:t>
      </w:r>
    </w:p>
    <w:p w14:paraId="30555B81" w14:textId="77777777" w:rsidR="00DF644D" w:rsidRDefault="00DF644D" w:rsidP="00587ABF">
      <w:pPr>
        <w:pStyle w:val="BodyText1"/>
        <w:ind w:left="714" w:hanging="357"/>
        <w:jc w:val="both"/>
      </w:pPr>
      <w:r>
        <w:t>f.</w:t>
      </w:r>
      <w:r>
        <w:tab/>
      </w:r>
      <w:proofErr w:type="gramStart"/>
      <w:r>
        <w:t>carry</w:t>
      </w:r>
      <w:proofErr w:type="gramEnd"/>
      <w:r>
        <w:t xml:space="preserve"> out any other co-operation or collusion with another Supplier or any other person which the Authority considers capable of undermining fair competition</w:t>
      </w:r>
    </w:p>
    <w:p w14:paraId="55A427E6" w14:textId="77777777" w:rsidR="00DF644D" w:rsidRDefault="00DF644D" w:rsidP="00587ABF">
      <w:pPr>
        <w:pStyle w:val="BodyText1"/>
        <w:numPr>
          <w:ilvl w:val="0"/>
          <w:numId w:val="6"/>
        </w:numPr>
        <w:ind w:left="357" w:hanging="357"/>
        <w:jc w:val="both"/>
      </w:pPr>
      <w:r>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Default="00DF644D" w:rsidP="00587ABF">
      <w:pPr>
        <w:pStyle w:val="Heading3"/>
        <w:jc w:val="both"/>
      </w:pPr>
      <w:r>
        <w:t>Conflicts of interest</w:t>
      </w:r>
    </w:p>
    <w:p w14:paraId="08988506" w14:textId="5E7A5C3A" w:rsidR="00DF644D" w:rsidRDefault="00DF644D" w:rsidP="00587ABF">
      <w:pPr>
        <w:pStyle w:val="BodyText1"/>
        <w:numPr>
          <w:ilvl w:val="0"/>
          <w:numId w:val="6"/>
        </w:numPr>
        <w:ind w:left="357" w:hanging="357"/>
        <w:jc w:val="both"/>
      </w:pPr>
      <w:r>
        <w:t>Suppliers are responsible for ensuring that no actual, potential or perceived conflicts of interest (within the meaning of the Act) exist between themselves and the Authority or its advisers.</w:t>
      </w:r>
      <w:r w:rsidR="003F6CC0">
        <w:t xml:space="preserve"> </w:t>
      </w:r>
      <w:r>
        <w:t xml:space="preserve">Suppliers must notify the Authority immediately of any actual, potential or perceived conflict of interest. </w:t>
      </w:r>
    </w:p>
    <w:p w14:paraId="5E33E51C" w14:textId="77777777" w:rsidR="00DF644D" w:rsidRDefault="00DF644D" w:rsidP="00587ABF">
      <w:pPr>
        <w:pStyle w:val="BodyText1"/>
        <w:numPr>
          <w:ilvl w:val="0"/>
          <w:numId w:val="6"/>
        </w:numPr>
        <w:ind w:left="357" w:hanging="357"/>
        <w:jc w:val="both"/>
      </w:pPr>
      <w:r>
        <w:t>In the event of any actual, potential or perceived conflict of interest, the Authority shall in its absolute discretion decide on the appropriate course of action. The Authority reserves the right to:</w:t>
      </w:r>
    </w:p>
    <w:p w14:paraId="07E94A47" w14:textId="77777777" w:rsidR="00DF644D" w:rsidRDefault="00DF644D" w:rsidP="00587ABF">
      <w:pPr>
        <w:pStyle w:val="BodyText1"/>
        <w:ind w:left="714" w:hanging="357"/>
        <w:jc w:val="both"/>
      </w:pPr>
      <w:r>
        <w:lastRenderedPageBreak/>
        <w:t>a.</w:t>
      </w:r>
      <w:r>
        <w:tab/>
      </w:r>
      <w:proofErr w:type="gramStart"/>
      <w:r>
        <w:t>exclude</w:t>
      </w:r>
      <w:proofErr w:type="gramEnd"/>
      <w:r>
        <w:t xml:space="preserve"> any Supplier that fails to notify the Authority of an actual, potential or perceived conflict of interest, or where an actual conflict of interest exists</w:t>
      </w:r>
    </w:p>
    <w:p w14:paraId="1BD336E0" w14:textId="77777777" w:rsidR="00DF644D" w:rsidRDefault="00DF644D" w:rsidP="00587ABF">
      <w:pPr>
        <w:pStyle w:val="BodyText1"/>
        <w:ind w:left="714" w:hanging="357"/>
        <w:jc w:val="both"/>
      </w:pPr>
      <w:r>
        <w:t>b.</w:t>
      </w:r>
      <w:r>
        <w:tab/>
      </w:r>
      <w:proofErr w:type="gramStart"/>
      <w:r>
        <w:t>request</w:t>
      </w:r>
      <w:proofErr w:type="gramEnd"/>
      <w: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Default="00DF644D" w:rsidP="00587ABF">
      <w:pPr>
        <w:pStyle w:val="BodyText1"/>
        <w:numPr>
          <w:ilvl w:val="0"/>
          <w:numId w:val="6"/>
        </w:numPr>
        <w:ind w:left="357" w:hanging="357"/>
        <w:jc w:val="both"/>
      </w:pPr>
      <w: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Default="00DF644D" w:rsidP="00587ABF">
      <w:pPr>
        <w:pStyle w:val="Heading3"/>
        <w:jc w:val="both"/>
      </w:pPr>
      <w:r>
        <w:t>Conflict assessments</w:t>
      </w:r>
    </w:p>
    <w:p w14:paraId="6C603B75" w14:textId="77777777" w:rsidR="00DF644D" w:rsidRDefault="00DF644D" w:rsidP="00587ABF">
      <w:pPr>
        <w:pStyle w:val="BodyText1"/>
        <w:numPr>
          <w:ilvl w:val="0"/>
          <w:numId w:val="6"/>
        </w:numPr>
        <w:ind w:left="357" w:hanging="357"/>
        <w:jc w:val="both"/>
      </w:pPr>
      <w:r>
        <w:t>The Authority confirms that, prior to the issue of the Tender Notice in this Procurement, a conflict assessment has been prepared in accordance with the Act.</w:t>
      </w:r>
    </w:p>
    <w:p w14:paraId="42D5E739" w14:textId="77777777" w:rsidR="00DF644D" w:rsidRDefault="00DF644D" w:rsidP="00587ABF">
      <w:pPr>
        <w:pStyle w:val="Heading3"/>
        <w:jc w:val="both"/>
      </w:pPr>
      <w:r>
        <w:t xml:space="preserve">Intellectual property </w:t>
      </w:r>
    </w:p>
    <w:p w14:paraId="231448F4" w14:textId="77777777" w:rsidR="00DF644D" w:rsidRDefault="00DF644D" w:rsidP="00587ABF">
      <w:pPr>
        <w:pStyle w:val="BodyText1"/>
        <w:numPr>
          <w:ilvl w:val="0"/>
          <w:numId w:val="6"/>
        </w:numPr>
        <w:ind w:left="357" w:hanging="357"/>
        <w:jc w:val="both"/>
      </w:pPr>
      <w: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6E0FBBC1" w:rsidR="00DF644D" w:rsidRDefault="00DF644D" w:rsidP="006C2DAD">
      <w:pPr>
        <w:pStyle w:val="Heading3"/>
        <w:jc w:val="both"/>
      </w:pPr>
      <w:r>
        <w:t>Anti-competitive behaviour</w:t>
      </w:r>
    </w:p>
    <w:p w14:paraId="7B9569D8" w14:textId="77777777" w:rsidR="00DF644D" w:rsidRDefault="00DF644D" w:rsidP="00587ABF">
      <w:pPr>
        <w:pStyle w:val="BodyText1"/>
        <w:numPr>
          <w:ilvl w:val="0"/>
          <w:numId w:val="6"/>
        </w:numPr>
        <w:ind w:left="357" w:hanging="357"/>
        <w:jc w:val="both"/>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587ABF">
      <w:pPr>
        <w:pStyle w:val="BodyText1"/>
        <w:numPr>
          <w:ilvl w:val="0"/>
          <w:numId w:val="6"/>
        </w:numPr>
        <w:ind w:left="357" w:hanging="357"/>
        <w:jc w:val="both"/>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587ABF">
      <w:pPr>
        <w:pStyle w:val="BodyText1"/>
        <w:numPr>
          <w:ilvl w:val="0"/>
          <w:numId w:val="6"/>
        </w:numPr>
        <w:ind w:left="357" w:hanging="357"/>
        <w:jc w:val="both"/>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587ABF">
      <w:pPr>
        <w:pStyle w:val="Heading3"/>
        <w:jc w:val="both"/>
      </w:pPr>
      <w:r>
        <w:t xml:space="preserve">Contract </w:t>
      </w:r>
    </w:p>
    <w:p w14:paraId="11430352" w14:textId="77777777" w:rsidR="00DF644D" w:rsidRDefault="00DF644D" w:rsidP="00587ABF">
      <w:pPr>
        <w:pStyle w:val="BodyText1"/>
        <w:numPr>
          <w:ilvl w:val="0"/>
          <w:numId w:val="6"/>
        </w:numPr>
        <w:ind w:left="357" w:hanging="357"/>
        <w:jc w:val="both"/>
      </w:pPr>
      <w:r>
        <w:t xml:space="preserve">A tender submission is an offer to enter into a contract on the terms of the contents of the submission. Notification of an award decision does not constitute acceptance by the </w:t>
      </w:r>
      <w:r>
        <w:lastRenderedPageBreak/>
        <w:t xml:space="preserve">Authority. Any document submitted by a Supplier shall only have contractual effect when it is contained within an executed written contract. </w:t>
      </w:r>
    </w:p>
    <w:p w14:paraId="52E30D72" w14:textId="1ECE4296" w:rsidR="00DF644D" w:rsidRDefault="00DF644D" w:rsidP="00587ABF">
      <w:pPr>
        <w:pStyle w:val="BodyText1"/>
        <w:numPr>
          <w:ilvl w:val="0"/>
          <w:numId w:val="6"/>
        </w:numPr>
        <w:ind w:left="357" w:hanging="357"/>
        <w:jc w:val="both"/>
      </w:pPr>
      <w:r>
        <w:t xml:space="preserve">The Supplier’s final tender submission must remain valid for acceptance for a period of </w:t>
      </w:r>
      <w:r w:rsidR="008F4BB9">
        <w:t xml:space="preserve">120 </w:t>
      </w:r>
      <w:r>
        <w:t xml:space="preserve">days from the date of its submission or until any procurement challenge/s have been resolved. </w:t>
      </w:r>
    </w:p>
    <w:p w14:paraId="6B87B224" w14:textId="77777777" w:rsidR="00DF644D" w:rsidRDefault="00DF644D" w:rsidP="00587ABF">
      <w:pPr>
        <w:pStyle w:val="Heading3"/>
        <w:jc w:val="both"/>
      </w:pPr>
      <w:r>
        <w:t xml:space="preserve">Supplier withdrawal </w:t>
      </w:r>
    </w:p>
    <w:p w14:paraId="4FCA0637" w14:textId="38C0E3CC" w:rsidR="00DF644D" w:rsidRDefault="00DF644D" w:rsidP="00587ABF">
      <w:pPr>
        <w:pStyle w:val="BodyText1"/>
        <w:numPr>
          <w:ilvl w:val="0"/>
          <w:numId w:val="6"/>
        </w:numPr>
        <w:ind w:left="357" w:hanging="357"/>
        <w:jc w:val="both"/>
      </w:pPr>
      <w:r>
        <w:t xml:space="preserve">Suppliers may withdraw from the Procurement at any time before the final tender submission deadline by providing written notification to the Authority via </w:t>
      </w:r>
      <w:r w:rsidR="7817148E">
        <w:t>email</w:t>
      </w:r>
      <w:r>
        <w:t>.</w:t>
      </w:r>
    </w:p>
    <w:p w14:paraId="145D3E7B" w14:textId="1D1D3F58" w:rsidR="00DF644D" w:rsidRDefault="00DF644D" w:rsidP="00587ABF">
      <w:pPr>
        <w:pStyle w:val="BodyText1"/>
        <w:numPr>
          <w:ilvl w:val="0"/>
          <w:numId w:val="6"/>
        </w:numPr>
        <w:ind w:left="357" w:hanging="357"/>
        <w:jc w:val="both"/>
      </w:pPr>
      <w:r>
        <w:t>In the event that a Supplier withdraws from the Procurement prior to the submission deadline for initial tenders, the Authority reserves the right (but shall not be obliged) to invite the next highest ranked Supplier that submitted a valid response to the invitation to participate but which attained a score that was not sufficiently high for it to be shortlisted, to be re-instated in the Procurement and invited to submit an initial tender.</w:t>
      </w:r>
    </w:p>
    <w:p w14:paraId="5832A7A2" w14:textId="3FA5B1BC" w:rsidR="00DF644D" w:rsidRDefault="00DF644D" w:rsidP="00587ABF">
      <w:pPr>
        <w:pStyle w:val="Heading3"/>
        <w:jc w:val="both"/>
      </w:pPr>
      <w:r>
        <w:t>Modifying your tender</w:t>
      </w:r>
    </w:p>
    <w:p w14:paraId="2A55DF79" w14:textId="6FF3346B" w:rsidR="00DF644D" w:rsidRDefault="00DF644D" w:rsidP="00587ABF">
      <w:pPr>
        <w:pStyle w:val="BodyText1"/>
        <w:numPr>
          <w:ilvl w:val="0"/>
          <w:numId w:val="6"/>
        </w:numPr>
        <w:ind w:left="357" w:hanging="357"/>
        <w:jc w:val="both"/>
      </w:pPr>
      <w:r>
        <w:t>Suppliers may modify their submitted tenders prior to the submission deadline. (The Authority will not open tenders until after the submission deadline set out in the Procurement Timetable.)</w:t>
      </w:r>
    </w:p>
    <w:p w14:paraId="3B6AF4D5" w14:textId="77777777" w:rsidR="00DF644D" w:rsidRDefault="00DF644D" w:rsidP="00587ABF">
      <w:pPr>
        <w:pStyle w:val="Heading3"/>
        <w:jc w:val="both"/>
      </w:pPr>
      <w:r>
        <w:t>Supplier eligibility</w:t>
      </w:r>
    </w:p>
    <w:p w14:paraId="113F5AFC" w14:textId="77777777" w:rsidR="00DF644D" w:rsidRDefault="00DF644D" w:rsidP="00587ABF">
      <w:pPr>
        <w:pStyle w:val="BodyText1"/>
        <w:numPr>
          <w:ilvl w:val="0"/>
          <w:numId w:val="6"/>
        </w:numPr>
        <w:ind w:left="357" w:hanging="357"/>
        <w:jc w:val="both"/>
      </w:pPr>
      <w:r>
        <w:t>Suppliers are reminded that the eligibility requirements in this document, Tender Notice and all other associated tender documents apply to the Procurement at all times.</w:t>
      </w:r>
    </w:p>
    <w:p w14:paraId="46923396" w14:textId="77777777" w:rsidR="00DF644D" w:rsidRDefault="00DF644D" w:rsidP="00587ABF">
      <w:pPr>
        <w:pStyle w:val="BodyText1"/>
        <w:numPr>
          <w:ilvl w:val="0"/>
          <w:numId w:val="6"/>
        </w:numPr>
        <w:ind w:left="357" w:hanging="357"/>
        <w:jc w:val="both"/>
      </w:pPr>
      <w:r>
        <w:t>The Authority reserves the right to require any Supplier to provide such further information as the Authority may require (and for the avoidance of doubt, the Authority may make multiple requests) as to any issue addressed in the [ITP], including, but not limited to, the economic and financial standing of the Supplier at any stage of the Procurement and prior to the notification of the award decision and/or the award of the contract.</w:t>
      </w:r>
    </w:p>
    <w:p w14:paraId="71D1EA9D" w14:textId="77777777" w:rsidR="00DF644D" w:rsidRDefault="00DF644D" w:rsidP="00587ABF">
      <w:pPr>
        <w:pStyle w:val="BodyText1"/>
        <w:numPr>
          <w:ilvl w:val="0"/>
          <w:numId w:val="6"/>
        </w:numPr>
        <w:ind w:left="357" w:hanging="357"/>
        <w:jc w:val="both"/>
      </w:pPr>
      <w: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587ABF">
      <w:pPr>
        <w:pStyle w:val="Heading3"/>
        <w:jc w:val="both"/>
      </w:pPr>
      <w:r>
        <w:t xml:space="preserve">Supplier warranties </w:t>
      </w:r>
    </w:p>
    <w:p w14:paraId="500EE54F" w14:textId="77777777" w:rsidR="00DF644D" w:rsidRDefault="00DF644D" w:rsidP="00587ABF">
      <w:pPr>
        <w:pStyle w:val="BodyText1"/>
        <w:numPr>
          <w:ilvl w:val="0"/>
          <w:numId w:val="6"/>
        </w:numPr>
        <w:ind w:left="357" w:hanging="357"/>
        <w:jc w:val="both"/>
      </w:pPr>
      <w:r>
        <w:t>In responding to this invitation, the Supplier warrants, represents and undertakes to the Authority that:</w:t>
      </w:r>
    </w:p>
    <w:p w14:paraId="667FD59F" w14:textId="77777777" w:rsidR="00DF644D" w:rsidRDefault="00DF644D" w:rsidP="00587ABF">
      <w:pPr>
        <w:pStyle w:val="BodyText1"/>
        <w:ind w:left="714" w:hanging="357"/>
        <w:jc w:val="both"/>
      </w:pPr>
      <w:r>
        <w:t>a.</w:t>
      </w:r>
      <w:r>
        <w:tab/>
        <w:t>it understands and has complied with the conditions set out in this document</w:t>
      </w:r>
    </w:p>
    <w:p w14:paraId="5133315E" w14:textId="77777777" w:rsidR="00DF644D" w:rsidRDefault="00DF644D" w:rsidP="00587ABF">
      <w:pPr>
        <w:pStyle w:val="BodyText1"/>
        <w:ind w:left="714" w:hanging="357"/>
        <w:jc w:val="both"/>
      </w:pPr>
      <w:r>
        <w:lastRenderedPageBreak/>
        <w:t>b.</w:t>
      </w:r>
      <w: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587ABF">
      <w:pPr>
        <w:pStyle w:val="BodyText1"/>
        <w:ind w:left="714" w:hanging="357"/>
        <w:jc w:val="both"/>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587ABF">
      <w:pPr>
        <w:pStyle w:val="BodyText1"/>
        <w:ind w:left="714" w:hanging="357"/>
        <w:jc w:val="both"/>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587ABF">
      <w:pPr>
        <w:pStyle w:val="BodyText1"/>
        <w:numPr>
          <w:ilvl w:val="0"/>
          <w:numId w:val="6"/>
        </w:numPr>
        <w:ind w:left="357" w:hanging="357"/>
        <w:jc w:val="both"/>
      </w:pPr>
      <w:r>
        <w:t>Suppliers should note that the potential consequences of providing incomplete, inaccurate or misleading information include that:</w:t>
      </w:r>
    </w:p>
    <w:p w14:paraId="09A98BA4" w14:textId="77777777" w:rsidR="00DF644D" w:rsidRDefault="00DF644D" w:rsidP="00587ABF">
      <w:pPr>
        <w:pStyle w:val="BodyText1"/>
        <w:ind w:left="714" w:hanging="357"/>
        <w:jc w:val="both"/>
      </w:pPr>
      <w:r>
        <w:t>a.</w:t>
      </w:r>
      <w:r>
        <w:tab/>
        <w:t>the Authority may exclude the Supplier from participating in this Procurement</w:t>
      </w:r>
    </w:p>
    <w:p w14:paraId="485ED62A" w14:textId="77777777" w:rsidR="00DF644D" w:rsidRDefault="00DF644D" w:rsidP="00587ABF">
      <w:pPr>
        <w:pStyle w:val="BodyText1"/>
        <w:ind w:left="714" w:hanging="357"/>
        <w:jc w:val="both"/>
      </w:pPr>
      <w:r>
        <w:t>b.</w:t>
      </w:r>
      <w:r>
        <w:tab/>
        <w:t>the Supplier may be excluded from bidding for contracts under Schedule 7, Paragraph 13 of the Act</w:t>
      </w:r>
    </w:p>
    <w:p w14:paraId="794ADCF3" w14:textId="77777777" w:rsidR="00DF644D" w:rsidRDefault="00DF644D" w:rsidP="00587ABF">
      <w:pPr>
        <w:pStyle w:val="BodyText1"/>
        <w:ind w:left="714" w:hanging="357"/>
        <w:jc w:val="both"/>
      </w:pPr>
      <w:r>
        <w:t>c.</w:t>
      </w:r>
      <w:r>
        <w:tab/>
        <w:t>the Authority may rescind any resulting contract under the Misrepresentation Act 1967 and may sue the Supplier for damages</w:t>
      </w:r>
    </w:p>
    <w:p w14:paraId="480B525C" w14:textId="77777777" w:rsidR="00DF644D" w:rsidRDefault="00DF644D" w:rsidP="00587ABF">
      <w:pPr>
        <w:pStyle w:val="BodyText1"/>
        <w:ind w:left="714" w:hanging="357"/>
        <w:jc w:val="both"/>
      </w:pPr>
      <w:r>
        <w:t>d.</w:t>
      </w:r>
      <w: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Default="00DF644D" w:rsidP="00587ABF">
      <w:pPr>
        <w:pStyle w:val="Heading3"/>
        <w:jc w:val="both"/>
      </w:pPr>
      <w:r>
        <w:t>Third parties</w:t>
      </w:r>
    </w:p>
    <w:p w14:paraId="01388277" w14:textId="77777777" w:rsidR="00DF644D" w:rsidRDefault="00DF644D" w:rsidP="00587ABF">
      <w:pPr>
        <w:pStyle w:val="BodyText1"/>
        <w:numPr>
          <w:ilvl w:val="0"/>
          <w:numId w:val="6"/>
        </w:numPr>
        <w:ind w:left="357" w:hanging="357"/>
        <w:jc w:val="both"/>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587ABF">
      <w:pPr>
        <w:pStyle w:val="Heading3"/>
        <w:jc w:val="both"/>
      </w:pPr>
      <w:r>
        <w:t>Applicable law</w:t>
      </w:r>
    </w:p>
    <w:p w14:paraId="29B320D3" w14:textId="431C507F" w:rsidR="00DF644D" w:rsidRDefault="00DF644D" w:rsidP="00587ABF">
      <w:pPr>
        <w:pStyle w:val="BodyText1"/>
        <w:numPr>
          <w:ilvl w:val="0"/>
          <w:numId w:val="6"/>
        </w:numPr>
        <w:ind w:left="357" w:hanging="357"/>
        <w:jc w:val="both"/>
      </w:pPr>
      <w:r>
        <w:t>The law</w:t>
      </w:r>
      <w:r w:rsidR="00086B14">
        <w:t>s</w:t>
      </w:r>
      <w:r>
        <w:t xml:space="preserve"> of England </w:t>
      </w:r>
      <w:r w:rsidR="00086B14">
        <w:t>and Wales are</w:t>
      </w:r>
      <w:r>
        <w:t xml:space="preserve"> applicable to this Procurement. </w:t>
      </w:r>
    </w:p>
    <w:p w14:paraId="57FF048F" w14:textId="77777777" w:rsidR="002147DD" w:rsidRPr="00170C6F" w:rsidRDefault="00DF644D" w:rsidP="00587ABF">
      <w:pPr>
        <w:pStyle w:val="BodyText1"/>
        <w:numPr>
          <w:ilvl w:val="0"/>
          <w:numId w:val="6"/>
        </w:numPr>
        <w:ind w:left="357" w:hanging="357"/>
        <w:jc w:val="both"/>
      </w:pPr>
      <w:r>
        <w:t>Suppliers must agree to submit to the exclusive jurisdiction of the Courts of England and Wales in relation to any dispute arising out of or in connection with this Procurement.</w:t>
      </w:r>
    </w:p>
    <w:p w14:paraId="6D5ECDD8" w14:textId="2C3E11F7" w:rsidR="002147DD" w:rsidRPr="002147DD" w:rsidRDefault="002147DD" w:rsidP="00DF644D">
      <w:pPr>
        <w:pStyle w:val="Heading1"/>
        <w:numPr>
          <w:ilvl w:val="0"/>
          <w:numId w:val="0"/>
        </w:numPr>
      </w:pPr>
      <w:bookmarkStart w:id="24" w:name="_Toc201061309"/>
      <w:r>
        <w:lastRenderedPageBreak/>
        <w:t>Appendix B: The Authority’s detailed requirement</w:t>
      </w:r>
      <w:bookmarkEnd w:id="24"/>
    </w:p>
    <w:p w14:paraId="41A1A171" w14:textId="1077CED8" w:rsidR="000215BB" w:rsidRDefault="009E5900" w:rsidP="003E3D85">
      <w:pPr>
        <w:pStyle w:val="BodyText1"/>
      </w:pPr>
      <w:r>
        <w:t xml:space="preserve">Suppliers </w:t>
      </w:r>
      <w:r w:rsidR="00B63557">
        <w:t>are required to</w:t>
      </w:r>
      <w:r w:rsidR="000215BB">
        <w:t>:</w:t>
      </w:r>
    </w:p>
    <w:p w14:paraId="07589140"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The Authority has defined a structured set of service requirements across three Lots. Bidders must respond only to the Lots for which they are submitting a proposal. The requirements include mandatory capabilities, scored qualitative questions, and (where relevant) supporting evidence.</w:t>
      </w:r>
    </w:p>
    <w:p w14:paraId="17C32D05" w14:textId="1614E577" w:rsidR="007A0508" w:rsidRPr="007A0508" w:rsidRDefault="007A0508" w:rsidP="007A0508">
      <w:pPr>
        <w:pStyle w:val="BodyText1"/>
        <w:rPr>
          <w:rFonts w:ascii="Lato Light" w:hAnsi="Lato Light"/>
          <w:sz w:val="22"/>
          <w:szCs w:val="22"/>
        </w:rPr>
      </w:pPr>
      <w:r w:rsidRPr="31758B17">
        <w:rPr>
          <w:rFonts w:ascii="Lato Light" w:hAnsi="Lato Light"/>
          <w:sz w:val="22"/>
          <w:szCs w:val="22"/>
        </w:rPr>
        <w:t>Lot 1 – Core Services</w:t>
      </w:r>
      <w:r w:rsidR="00986A7E" w:rsidRPr="31758B17">
        <w:rPr>
          <w:rFonts w:ascii="Lato Light" w:hAnsi="Lato Light"/>
          <w:sz w:val="22"/>
          <w:szCs w:val="22"/>
        </w:rPr>
        <w:t xml:space="preserve"> This Lot forms the operational foundation of the Authority’s fund platform and includes essential middle- and back-office services across both public and private market funds. The supplier must demonstrate full integration and automation capabilities across the </w:t>
      </w:r>
      <w:r w:rsidR="00604640" w:rsidRPr="31758B17">
        <w:rPr>
          <w:rFonts w:ascii="Lato Light" w:hAnsi="Lato Light"/>
          <w:sz w:val="22"/>
          <w:szCs w:val="22"/>
        </w:rPr>
        <w:t>following</w:t>
      </w:r>
      <w:r w:rsidR="00986A7E" w:rsidRPr="31758B17">
        <w:rPr>
          <w:rFonts w:ascii="Lato Light" w:hAnsi="Lato Light"/>
          <w:sz w:val="22"/>
          <w:szCs w:val="22"/>
        </w:rPr>
        <w:t xml:space="preserve"> areas.</w:t>
      </w:r>
    </w:p>
    <w:p w14:paraId="6C07D4AC"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Custody</w:t>
      </w:r>
    </w:p>
    <w:p w14:paraId="7DACA64E" w14:textId="77777777" w:rsidR="00F161F8" w:rsidRPr="00F161F8" w:rsidRDefault="00F161F8" w:rsidP="00F161F8">
      <w:pPr>
        <w:pStyle w:val="BodyText1"/>
        <w:numPr>
          <w:ilvl w:val="0"/>
          <w:numId w:val="27"/>
        </w:numPr>
        <w:rPr>
          <w:rFonts w:ascii="Lato Light" w:hAnsi="Lato Light"/>
          <w:sz w:val="22"/>
          <w:szCs w:val="22"/>
        </w:rPr>
      </w:pPr>
      <w:r w:rsidRPr="31758B17">
        <w:rPr>
          <w:rFonts w:ascii="Lato Light" w:hAnsi="Lato Light"/>
          <w:sz w:val="22"/>
          <w:szCs w:val="22"/>
        </w:rPr>
        <w:t>Provision of safekeeping for all asset types including public equity, bonds, private assets, and derivatives.</w:t>
      </w:r>
    </w:p>
    <w:p w14:paraId="276B80A8" w14:textId="6DF32CE7" w:rsidR="00240EAF" w:rsidRPr="00240EAF" w:rsidRDefault="00240EAF" w:rsidP="00240EAF">
      <w:pPr>
        <w:pStyle w:val="BodyText1"/>
        <w:numPr>
          <w:ilvl w:val="0"/>
          <w:numId w:val="27"/>
        </w:numPr>
        <w:rPr>
          <w:rFonts w:ascii="Lato Light" w:hAnsi="Lato Light"/>
          <w:sz w:val="22"/>
          <w:szCs w:val="22"/>
        </w:rPr>
      </w:pPr>
      <w:r w:rsidRPr="31758B17">
        <w:rPr>
          <w:rFonts w:ascii="Lato Light" w:hAnsi="Lato Light"/>
          <w:sz w:val="22"/>
          <w:szCs w:val="22"/>
        </w:rPr>
        <w:t>Full trade lifecycle support including settlement, monitoring, and exception resolution.</w:t>
      </w:r>
    </w:p>
    <w:p w14:paraId="6843AA4F" w14:textId="2E0B9941" w:rsidR="00240EAF" w:rsidRPr="00240EAF" w:rsidRDefault="00240EAF" w:rsidP="00240EAF">
      <w:pPr>
        <w:pStyle w:val="BodyText1"/>
        <w:numPr>
          <w:ilvl w:val="0"/>
          <w:numId w:val="27"/>
        </w:numPr>
        <w:rPr>
          <w:rFonts w:ascii="Lato Light" w:hAnsi="Lato Light"/>
          <w:sz w:val="22"/>
          <w:szCs w:val="22"/>
        </w:rPr>
      </w:pPr>
      <w:r w:rsidRPr="31758B17">
        <w:rPr>
          <w:rFonts w:ascii="Lato Light" w:hAnsi="Lato Light"/>
          <w:sz w:val="22"/>
          <w:szCs w:val="22"/>
        </w:rPr>
        <w:t>Corporate actions processing, including notifications, elections, and entitlement collection.</w:t>
      </w:r>
    </w:p>
    <w:p w14:paraId="49AFF232" w14:textId="5B86DA97" w:rsidR="00240EAF" w:rsidRPr="00240EAF" w:rsidRDefault="00240EAF" w:rsidP="00240EAF">
      <w:pPr>
        <w:pStyle w:val="BodyText1"/>
        <w:numPr>
          <w:ilvl w:val="0"/>
          <w:numId w:val="27"/>
        </w:numPr>
        <w:rPr>
          <w:rFonts w:ascii="Lato Light" w:hAnsi="Lato Light"/>
          <w:sz w:val="22"/>
          <w:szCs w:val="22"/>
        </w:rPr>
      </w:pPr>
      <w:r w:rsidRPr="31758B17">
        <w:rPr>
          <w:rFonts w:ascii="Lato Light" w:hAnsi="Lato Light"/>
          <w:sz w:val="22"/>
          <w:szCs w:val="22"/>
        </w:rPr>
        <w:t>Proxy voting services aligned with client mandates, with reporting on execution.</w:t>
      </w:r>
    </w:p>
    <w:p w14:paraId="22C047D0" w14:textId="7DEB3A35" w:rsidR="00F161F8" w:rsidRPr="00F161F8" w:rsidRDefault="00240EAF" w:rsidP="00240EAF">
      <w:pPr>
        <w:pStyle w:val="BodyText1"/>
        <w:numPr>
          <w:ilvl w:val="0"/>
          <w:numId w:val="27"/>
        </w:numPr>
        <w:rPr>
          <w:rFonts w:ascii="Lato Light" w:hAnsi="Lato Light"/>
          <w:sz w:val="22"/>
          <w:szCs w:val="22"/>
        </w:rPr>
      </w:pPr>
      <w:r w:rsidRPr="31758B17">
        <w:rPr>
          <w:rFonts w:ascii="Lato Light" w:hAnsi="Lato Light"/>
          <w:sz w:val="22"/>
          <w:szCs w:val="22"/>
        </w:rPr>
        <w:t>Cash and income management across multicurrency accounts, with intraday visibility and control.</w:t>
      </w:r>
    </w:p>
    <w:p w14:paraId="33EB2E43"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Fund Administration</w:t>
      </w:r>
    </w:p>
    <w:p w14:paraId="53C918AF" w14:textId="4B1902B2" w:rsidR="009A3ED8" w:rsidRPr="009A3ED8" w:rsidRDefault="009A3ED8" w:rsidP="009A3ED8">
      <w:pPr>
        <w:pStyle w:val="BodyText1"/>
        <w:numPr>
          <w:ilvl w:val="0"/>
          <w:numId w:val="26"/>
        </w:numPr>
        <w:rPr>
          <w:rFonts w:ascii="Lato Light" w:hAnsi="Lato Light"/>
          <w:sz w:val="22"/>
          <w:szCs w:val="22"/>
        </w:rPr>
      </w:pPr>
      <w:r w:rsidRPr="31758B17">
        <w:rPr>
          <w:rFonts w:ascii="Lato Light" w:hAnsi="Lato Light"/>
          <w:sz w:val="22"/>
          <w:szCs w:val="22"/>
        </w:rPr>
        <w:t>NAV production and validation across public (e.g. ACS, EUUT) and private fund structures (e.g. SLPs).</w:t>
      </w:r>
    </w:p>
    <w:p w14:paraId="6B77A1CB" w14:textId="10AC107D" w:rsidR="009A3ED8" w:rsidRPr="009A3ED8" w:rsidRDefault="009A3ED8" w:rsidP="009A3ED8">
      <w:pPr>
        <w:pStyle w:val="BodyText1"/>
        <w:numPr>
          <w:ilvl w:val="0"/>
          <w:numId w:val="26"/>
        </w:numPr>
        <w:rPr>
          <w:rFonts w:ascii="Lato Light" w:hAnsi="Lato Light"/>
          <w:sz w:val="22"/>
          <w:szCs w:val="22"/>
        </w:rPr>
      </w:pPr>
      <w:r w:rsidRPr="31758B17">
        <w:rPr>
          <w:rFonts w:ascii="Lato Light" w:hAnsi="Lato Light"/>
          <w:sz w:val="22"/>
          <w:szCs w:val="22"/>
        </w:rPr>
        <w:t>Financial reporting and audit support, including trial balances, annual accounts preparation, and year-end reconciliation.</w:t>
      </w:r>
    </w:p>
    <w:p w14:paraId="389E9DC2" w14:textId="0919FF0C" w:rsidR="009A3ED8" w:rsidRPr="009A3ED8" w:rsidRDefault="009A3ED8" w:rsidP="009A3ED8">
      <w:pPr>
        <w:pStyle w:val="BodyText1"/>
        <w:numPr>
          <w:ilvl w:val="0"/>
          <w:numId w:val="26"/>
        </w:numPr>
        <w:rPr>
          <w:rFonts w:ascii="Lato Light" w:hAnsi="Lato Light"/>
          <w:sz w:val="22"/>
          <w:szCs w:val="22"/>
        </w:rPr>
      </w:pPr>
      <w:r w:rsidRPr="31758B17">
        <w:rPr>
          <w:rFonts w:ascii="Lato Light" w:hAnsi="Lato Light"/>
          <w:sz w:val="22"/>
          <w:szCs w:val="22"/>
        </w:rPr>
        <w:t>Management of capital calls, distributions, performance fee crystallisation, and valuation challenges.</w:t>
      </w:r>
    </w:p>
    <w:p w14:paraId="72986E18" w14:textId="3816F58B" w:rsidR="00F161F8" w:rsidRPr="00F161F8" w:rsidRDefault="009A3ED8" w:rsidP="009A3ED8">
      <w:pPr>
        <w:pStyle w:val="BodyText1"/>
        <w:numPr>
          <w:ilvl w:val="0"/>
          <w:numId w:val="26"/>
        </w:numPr>
        <w:rPr>
          <w:rFonts w:ascii="Lato Light" w:hAnsi="Lato Light"/>
          <w:sz w:val="22"/>
          <w:szCs w:val="22"/>
        </w:rPr>
      </w:pPr>
      <w:r w:rsidRPr="31758B17">
        <w:rPr>
          <w:rFonts w:ascii="Lato Light" w:hAnsi="Lato Light"/>
          <w:sz w:val="22"/>
          <w:szCs w:val="22"/>
        </w:rPr>
        <w:t>Flexible reporting across investor levels and fund structures.</w:t>
      </w:r>
    </w:p>
    <w:p w14:paraId="7BF0C260"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Depository Services</w:t>
      </w:r>
    </w:p>
    <w:p w14:paraId="5B4B0F53" w14:textId="619CBB5B" w:rsidR="00EA01CE" w:rsidRPr="00EA01CE" w:rsidRDefault="00EA01CE" w:rsidP="00EA01CE">
      <w:pPr>
        <w:pStyle w:val="BodyText1"/>
        <w:numPr>
          <w:ilvl w:val="0"/>
          <w:numId w:val="25"/>
        </w:numPr>
        <w:rPr>
          <w:rFonts w:ascii="Lato Light" w:hAnsi="Lato Light"/>
          <w:sz w:val="22"/>
          <w:szCs w:val="22"/>
        </w:rPr>
      </w:pPr>
      <w:r w:rsidRPr="31758B17">
        <w:rPr>
          <w:rFonts w:ascii="Lato Light" w:hAnsi="Lato Light"/>
          <w:sz w:val="22"/>
          <w:szCs w:val="22"/>
        </w:rPr>
        <w:t>Oversight of regulated fund vehicles, including asset safekeeping verification, cash flow monitoring, and breach escalation.</w:t>
      </w:r>
    </w:p>
    <w:p w14:paraId="7F0BD8FE" w14:textId="6FFB39E6" w:rsidR="00EA01CE" w:rsidRPr="00EA01CE" w:rsidRDefault="00EA01CE" w:rsidP="00EA01CE">
      <w:pPr>
        <w:pStyle w:val="BodyText1"/>
        <w:numPr>
          <w:ilvl w:val="0"/>
          <w:numId w:val="25"/>
        </w:numPr>
        <w:rPr>
          <w:rFonts w:ascii="Lato Light" w:hAnsi="Lato Light"/>
          <w:sz w:val="22"/>
          <w:szCs w:val="22"/>
        </w:rPr>
      </w:pPr>
      <w:r w:rsidRPr="31758B17">
        <w:rPr>
          <w:rFonts w:ascii="Lato Light" w:hAnsi="Lato Light"/>
          <w:sz w:val="22"/>
          <w:szCs w:val="22"/>
        </w:rPr>
        <w:t>Segregation of oversight and custody where required under regulation.</w:t>
      </w:r>
    </w:p>
    <w:p w14:paraId="71F95FCF" w14:textId="3487EA48" w:rsidR="00F161F8" w:rsidRPr="00F161F8" w:rsidRDefault="00EA01CE" w:rsidP="00EA01CE">
      <w:pPr>
        <w:pStyle w:val="BodyText1"/>
        <w:numPr>
          <w:ilvl w:val="0"/>
          <w:numId w:val="25"/>
        </w:numPr>
        <w:rPr>
          <w:rFonts w:ascii="Lato Light" w:hAnsi="Lato Light"/>
          <w:sz w:val="22"/>
          <w:szCs w:val="22"/>
        </w:rPr>
      </w:pPr>
      <w:r w:rsidRPr="31758B17">
        <w:rPr>
          <w:rFonts w:ascii="Lato Light" w:hAnsi="Lato Light"/>
          <w:sz w:val="22"/>
          <w:szCs w:val="22"/>
        </w:rPr>
        <w:t>Periodic due diligence and assurance reporting.</w:t>
      </w:r>
    </w:p>
    <w:p w14:paraId="7B39CF93"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Transfer Agency</w:t>
      </w:r>
    </w:p>
    <w:p w14:paraId="48A8B7C9" w14:textId="3B742356" w:rsidR="006C7F7B" w:rsidRPr="006C7F7B" w:rsidRDefault="006C7F7B" w:rsidP="006C7F7B">
      <w:pPr>
        <w:pStyle w:val="BodyText1"/>
        <w:numPr>
          <w:ilvl w:val="0"/>
          <w:numId w:val="24"/>
        </w:numPr>
        <w:rPr>
          <w:rFonts w:ascii="Lato Light" w:hAnsi="Lato Light"/>
          <w:sz w:val="22"/>
          <w:szCs w:val="22"/>
        </w:rPr>
      </w:pPr>
      <w:r w:rsidRPr="31758B17">
        <w:rPr>
          <w:rFonts w:ascii="Lato Light" w:hAnsi="Lato Light"/>
          <w:sz w:val="22"/>
          <w:szCs w:val="22"/>
        </w:rPr>
        <w:lastRenderedPageBreak/>
        <w:t>Subscription, redemption, and switch processing for investors.</w:t>
      </w:r>
    </w:p>
    <w:p w14:paraId="013A98EE" w14:textId="14BF00F7" w:rsidR="006C7F7B" w:rsidRPr="006C7F7B" w:rsidRDefault="006C7F7B" w:rsidP="006C7F7B">
      <w:pPr>
        <w:pStyle w:val="BodyText1"/>
        <w:numPr>
          <w:ilvl w:val="0"/>
          <w:numId w:val="24"/>
        </w:numPr>
        <w:rPr>
          <w:rFonts w:ascii="Lato Light" w:hAnsi="Lato Light"/>
          <w:sz w:val="22"/>
          <w:szCs w:val="22"/>
        </w:rPr>
      </w:pPr>
      <w:r w:rsidRPr="31758B17">
        <w:rPr>
          <w:rFonts w:ascii="Lato Light" w:hAnsi="Lato Light"/>
          <w:sz w:val="22"/>
          <w:szCs w:val="22"/>
        </w:rPr>
        <w:t>Maintenance of investor registers, anti-money laundering compliance, and document collection.</w:t>
      </w:r>
    </w:p>
    <w:p w14:paraId="4CAFB401" w14:textId="42CBA26E" w:rsidR="006C7F7B" w:rsidRPr="006C7F7B" w:rsidRDefault="006C7F7B" w:rsidP="006C7F7B">
      <w:pPr>
        <w:pStyle w:val="BodyText1"/>
        <w:numPr>
          <w:ilvl w:val="0"/>
          <w:numId w:val="24"/>
        </w:numPr>
        <w:rPr>
          <w:rFonts w:ascii="Lato Light" w:hAnsi="Lato Light"/>
          <w:sz w:val="22"/>
          <w:szCs w:val="22"/>
        </w:rPr>
      </w:pPr>
      <w:r w:rsidRPr="31758B17">
        <w:rPr>
          <w:rFonts w:ascii="Lato Light" w:hAnsi="Lato Light"/>
          <w:sz w:val="22"/>
          <w:szCs w:val="22"/>
        </w:rPr>
        <w:t>Client onboarding, portal access, and investor servicing SLAs.</w:t>
      </w:r>
    </w:p>
    <w:p w14:paraId="226B8CE0" w14:textId="0B99694D" w:rsidR="00F161F8" w:rsidRPr="00F161F8" w:rsidRDefault="006C7F7B" w:rsidP="006C7F7B">
      <w:pPr>
        <w:pStyle w:val="BodyText1"/>
        <w:numPr>
          <w:ilvl w:val="0"/>
          <w:numId w:val="24"/>
        </w:numPr>
        <w:rPr>
          <w:rFonts w:ascii="Lato Light" w:hAnsi="Lato Light"/>
          <w:sz w:val="22"/>
          <w:szCs w:val="22"/>
        </w:rPr>
      </w:pPr>
      <w:r w:rsidRPr="31758B17">
        <w:rPr>
          <w:rFonts w:ascii="Lato Light" w:hAnsi="Lato Light"/>
          <w:sz w:val="22"/>
          <w:szCs w:val="22"/>
        </w:rPr>
        <w:t>Tailored to both listed and unlisted fund share classes.</w:t>
      </w:r>
    </w:p>
    <w:p w14:paraId="3C2B827C"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Investment Operations</w:t>
      </w:r>
    </w:p>
    <w:p w14:paraId="43F477CD" w14:textId="113DBAF0" w:rsidR="00043FC8" w:rsidRPr="00043FC8" w:rsidRDefault="00043FC8" w:rsidP="00043FC8">
      <w:pPr>
        <w:pStyle w:val="BodyText1"/>
        <w:numPr>
          <w:ilvl w:val="0"/>
          <w:numId w:val="23"/>
        </w:numPr>
        <w:rPr>
          <w:rFonts w:ascii="Lato Light" w:hAnsi="Lato Light"/>
          <w:sz w:val="22"/>
          <w:szCs w:val="22"/>
        </w:rPr>
      </w:pPr>
      <w:r w:rsidRPr="31758B17">
        <w:rPr>
          <w:rFonts w:ascii="Lato Light" w:hAnsi="Lato Light"/>
          <w:sz w:val="22"/>
          <w:szCs w:val="22"/>
        </w:rPr>
        <w:t>Oversight of middle-office processes: trade capture, reconciliations (cash, positions, transactions), and lifecycle monitoring.</w:t>
      </w:r>
    </w:p>
    <w:p w14:paraId="0F0F62A3" w14:textId="20A92C8E" w:rsidR="00043FC8" w:rsidRPr="00043FC8" w:rsidRDefault="00043FC8" w:rsidP="00043FC8">
      <w:pPr>
        <w:pStyle w:val="BodyText1"/>
        <w:numPr>
          <w:ilvl w:val="0"/>
          <w:numId w:val="23"/>
        </w:numPr>
        <w:rPr>
          <w:rFonts w:ascii="Lato Light" w:hAnsi="Lato Light"/>
          <w:sz w:val="22"/>
          <w:szCs w:val="22"/>
        </w:rPr>
      </w:pPr>
      <w:r w:rsidRPr="31758B17">
        <w:rPr>
          <w:rFonts w:ascii="Lato Light" w:hAnsi="Lato Light"/>
          <w:sz w:val="22"/>
          <w:szCs w:val="22"/>
        </w:rPr>
        <w:t>Data management for positions, transactions, and reference data including fund static.</w:t>
      </w:r>
    </w:p>
    <w:p w14:paraId="48BA93FD" w14:textId="0896580F" w:rsidR="00043FC8" w:rsidRPr="00043FC8" w:rsidRDefault="00043FC8" w:rsidP="00043FC8">
      <w:pPr>
        <w:pStyle w:val="BodyText1"/>
        <w:numPr>
          <w:ilvl w:val="0"/>
          <w:numId w:val="23"/>
        </w:numPr>
        <w:rPr>
          <w:rFonts w:ascii="Lato Light" w:hAnsi="Lato Light"/>
          <w:sz w:val="22"/>
          <w:szCs w:val="22"/>
        </w:rPr>
      </w:pPr>
      <w:r w:rsidRPr="31758B17">
        <w:rPr>
          <w:rFonts w:ascii="Lato Light" w:hAnsi="Lato Light"/>
          <w:sz w:val="22"/>
          <w:szCs w:val="22"/>
        </w:rPr>
        <w:t>Integration with Investment Managers, custodians, and third-party systems.</w:t>
      </w:r>
    </w:p>
    <w:p w14:paraId="01825B7F" w14:textId="38CC2043" w:rsidR="00F161F8" w:rsidRPr="00F161F8" w:rsidRDefault="00043FC8" w:rsidP="00043FC8">
      <w:pPr>
        <w:pStyle w:val="BodyText1"/>
        <w:numPr>
          <w:ilvl w:val="0"/>
          <w:numId w:val="23"/>
        </w:numPr>
        <w:rPr>
          <w:rFonts w:ascii="Lato Light" w:hAnsi="Lato Light"/>
          <w:sz w:val="22"/>
          <w:szCs w:val="22"/>
        </w:rPr>
      </w:pPr>
      <w:r w:rsidRPr="31758B17">
        <w:rPr>
          <w:rFonts w:ascii="Lato Light" w:hAnsi="Lato Light"/>
          <w:sz w:val="22"/>
          <w:szCs w:val="22"/>
        </w:rPr>
        <w:t>Provision of timely dashboards, workflow tools, and MI reporting.</w:t>
      </w:r>
    </w:p>
    <w:p w14:paraId="7D3DA5D8" w14:textId="77777777" w:rsidR="00F161F8" w:rsidRPr="00F161F8" w:rsidRDefault="00F161F8" w:rsidP="00F161F8">
      <w:pPr>
        <w:pStyle w:val="BodyText1"/>
        <w:rPr>
          <w:rFonts w:ascii="Lato Light" w:hAnsi="Lato Light"/>
          <w:sz w:val="22"/>
          <w:szCs w:val="22"/>
        </w:rPr>
      </w:pPr>
      <w:r w:rsidRPr="31758B17">
        <w:rPr>
          <w:rFonts w:ascii="Lato Light" w:hAnsi="Lato Light"/>
          <w:sz w:val="22"/>
          <w:szCs w:val="22"/>
        </w:rPr>
        <w:t>Withholding Tax</w:t>
      </w:r>
    </w:p>
    <w:p w14:paraId="291E0A20" w14:textId="77777777" w:rsidR="00F161F8" w:rsidRPr="00F161F8" w:rsidRDefault="00F161F8" w:rsidP="00F161F8">
      <w:pPr>
        <w:pStyle w:val="BodyText1"/>
        <w:numPr>
          <w:ilvl w:val="0"/>
          <w:numId w:val="22"/>
        </w:numPr>
        <w:rPr>
          <w:rFonts w:ascii="Lato Light" w:hAnsi="Lato Light"/>
          <w:sz w:val="22"/>
          <w:szCs w:val="22"/>
        </w:rPr>
      </w:pPr>
      <w:r w:rsidRPr="31758B17">
        <w:rPr>
          <w:rFonts w:ascii="Lato Light" w:hAnsi="Lato Light"/>
          <w:sz w:val="22"/>
          <w:szCs w:val="22"/>
        </w:rPr>
        <w:t>Maintenance of tax documentation across jurisdictions.</w:t>
      </w:r>
    </w:p>
    <w:p w14:paraId="780973E9" w14:textId="77777777" w:rsidR="00F161F8" w:rsidRPr="00F161F8" w:rsidRDefault="00F161F8" w:rsidP="00F161F8">
      <w:pPr>
        <w:pStyle w:val="BodyText1"/>
        <w:numPr>
          <w:ilvl w:val="0"/>
          <w:numId w:val="22"/>
        </w:numPr>
        <w:rPr>
          <w:rFonts w:ascii="Lato Light" w:hAnsi="Lato Light"/>
          <w:sz w:val="22"/>
          <w:szCs w:val="22"/>
        </w:rPr>
      </w:pPr>
      <w:r w:rsidRPr="31758B17">
        <w:rPr>
          <w:rFonts w:ascii="Lato Light" w:hAnsi="Lato Light"/>
          <w:sz w:val="22"/>
          <w:szCs w:val="22"/>
        </w:rPr>
        <w:t>Application of relief at source where eligible.</w:t>
      </w:r>
    </w:p>
    <w:p w14:paraId="20053F23" w14:textId="22C76BF8" w:rsidR="00F161F8" w:rsidRPr="00F161F8" w:rsidRDefault="00F161F8" w:rsidP="00F161F8">
      <w:pPr>
        <w:pStyle w:val="BodyText1"/>
        <w:numPr>
          <w:ilvl w:val="0"/>
          <w:numId w:val="22"/>
        </w:numPr>
        <w:rPr>
          <w:rFonts w:ascii="Lato Light" w:hAnsi="Lato Light"/>
          <w:sz w:val="22"/>
          <w:szCs w:val="22"/>
        </w:rPr>
      </w:pPr>
      <w:r w:rsidRPr="31758B17">
        <w:rPr>
          <w:rFonts w:ascii="Lato Light" w:hAnsi="Lato Light"/>
          <w:sz w:val="22"/>
          <w:szCs w:val="22"/>
        </w:rPr>
        <w:t>Reclaim filing and monitoring, with visibility of status and recovery timing.</w:t>
      </w:r>
      <w:r w:rsidR="00722034" w:rsidRPr="31758B17">
        <w:rPr>
          <w:rFonts w:ascii="Lato Light" w:hAnsi="Lato Light"/>
          <w:sz w:val="22"/>
          <w:szCs w:val="22"/>
        </w:rPr>
        <w:t xml:space="preserve"> Reporting on open reclaims, timelines, and recovery rates</w:t>
      </w:r>
    </w:p>
    <w:p w14:paraId="33BFED1C" w14:textId="0C5D74A8" w:rsidR="007A0508" w:rsidRPr="007A0508" w:rsidRDefault="007A0508" w:rsidP="007A0508">
      <w:pPr>
        <w:pStyle w:val="BodyText1"/>
        <w:rPr>
          <w:rFonts w:ascii="Lato Light" w:hAnsi="Lato Light"/>
          <w:sz w:val="22"/>
          <w:szCs w:val="22"/>
        </w:rPr>
      </w:pPr>
    </w:p>
    <w:p w14:paraId="1AD10262"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Suppliers are expected to:</w:t>
      </w:r>
    </w:p>
    <w:p w14:paraId="3B0054B4" w14:textId="2EF3F12D" w:rsidR="001D0254" w:rsidRDefault="001D0254" w:rsidP="007A0508">
      <w:pPr>
        <w:pStyle w:val="BodyText1"/>
        <w:rPr>
          <w:rFonts w:ascii="Lato Light" w:hAnsi="Lato Light"/>
          <w:sz w:val="22"/>
          <w:szCs w:val="22"/>
        </w:rPr>
      </w:pPr>
      <w:r w:rsidRPr="29886B9C">
        <w:rPr>
          <w:rFonts w:ascii="Lato Light" w:hAnsi="Lato Light"/>
          <w:sz w:val="22"/>
          <w:szCs w:val="22"/>
        </w:rPr>
        <w:t xml:space="preserve">Provide </w:t>
      </w:r>
      <w:r w:rsidR="002D433F" w:rsidRPr="29886B9C">
        <w:rPr>
          <w:rFonts w:ascii="Lato Light" w:hAnsi="Lato Light"/>
          <w:sz w:val="22"/>
          <w:szCs w:val="22"/>
        </w:rPr>
        <w:t>evidence of their regulatory status to provide Depositary services within the UK</w:t>
      </w:r>
    </w:p>
    <w:p w14:paraId="5F9136B4" w14:textId="7D798C17" w:rsidR="007A0508" w:rsidRPr="007A0508" w:rsidRDefault="007A0508" w:rsidP="007A0508">
      <w:pPr>
        <w:pStyle w:val="BodyText1"/>
        <w:rPr>
          <w:rFonts w:ascii="Lato Light" w:hAnsi="Lato Light"/>
          <w:sz w:val="22"/>
          <w:szCs w:val="22"/>
        </w:rPr>
      </w:pPr>
      <w:r w:rsidRPr="007A0508">
        <w:rPr>
          <w:rFonts w:ascii="Lato Light" w:hAnsi="Lato Light"/>
          <w:sz w:val="22"/>
          <w:szCs w:val="22"/>
        </w:rPr>
        <w:t>Demonstrate operational scale, regulatory expertise, and automation across services</w:t>
      </w:r>
    </w:p>
    <w:p w14:paraId="6B7E420F"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Support UK fund structures (e.g., ACS, EUUTs) and global asset classes</w:t>
      </w:r>
    </w:p>
    <w:p w14:paraId="0A17192F"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Provide transparent, flexible service models with strong MI and risk oversight</w:t>
      </w:r>
    </w:p>
    <w:p w14:paraId="026C9F21"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Evidence technology infrastructure, data controls, and continuity measures</w:t>
      </w:r>
    </w:p>
    <w:p w14:paraId="2509FC33" w14:textId="77777777" w:rsidR="007A0508" w:rsidRPr="007A0508" w:rsidRDefault="007A0508" w:rsidP="007A0508">
      <w:pPr>
        <w:pStyle w:val="BodyText1"/>
        <w:rPr>
          <w:rFonts w:ascii="Lato Light" w:hAnsi="Lato Light"/>
          <w:sz w:val="22"/>
          <w:szCs w:val="22"/>
        </w:rPr>
      </w:pPr>
    </w:p>
    <w:p w14:paraId="0B1CEC79" w14:textId="5D6F4F03" w:rsidR="007A0508" w:rsidRPr="007A0508" w:rsidRDefault="007A0508" w:rsidP="007A0508">
      <w:pPr>
        <w:pStyle w:val="BodyText1"/>
        <w:rPr>
          <w:rFonts w:ascii="Lato Light" w:hAnsi="Lato Light"/>
          <w:sz w:val="22"/>
          <w:szCs w:val="22"/>
        </w:rPr>
      </w:pPr>
      <w:r w:rsidRPr="31758B17">
        <w:rPr>
          <w:rFonts w:ascii="Lato Light" w:hAnsi="Lato Light"/>
          <w:sz w:val="22"/>
          <w:szCs w:val="22"/>
        </w:rPr>
        <w:t>Lot 2 – Client Reporting Services</w:t>
      </w:r>
      <w:r w:rsidR="0029365F" w:rsidRPr="31758B17">
        <w:rPr>
          <w:rFonts w:ascii="Lato Light" w:hAnsi="Lato Light"/>
          <w:sz w:val="22"/>
          <w:szCs w:val="22"/>
        </w:rPr>
        <w:t xml:space="preserve"> - Lot 2 comprises client-facing reporting and oversight services to support transparency, engagement, and governance with London CIV’s underlying clients. This Lot includes the production of standardised client reports, the integration of data sources and systems to enable reporting automation, and the provision of dashboards and oversight tools that facilitate monitoring of service performance</w:t>
      </w:r>
    </w:p>
    <w:p w14:paraId="6FA89D6B"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This Lot covers services including:</w:t>
      </w:r>
    </w:p>
    <w:p w14:paraId="526BE1BB" w14:textId="12E74EAD" w:rsidR="00DF0E28" w:rsidRDefault="00DF0E28" w:rsidP="006B086A">
      <w:pPr>
        <w:pStyle w:val="BodyText1"/>
        <w:rPr>
          <w:rFonts w:ascii="Lato Light" w:hAnsi="Lato Light"/>
          <w:sz w:val="22"/>
          <w:szCs w:val="22"/>
        </w:rPr>
      </w:pPr>
      <w:r w:rsidRPr="31758B17">
        <w:rPr>
          <w:rFonts w:ascii="Lato Light" w:hAnsi="Lato Light"/>
          <w:sz w:val="22"/>
          <w:szCs w:val="22"/>
        </w:rPr>
        <w:t>Client Reporting</w:t>
      </w:r>
    </w:p>
    <w:p w14:paraId="4BE78772" w14:textId="77777777" w:rsidR="006B086A" w:rsidRPr="006B086A" w:rsidRDefault="006B086A" w:rsidP="00DF0E28">
      <w:pPr>
        <w:pStyle w:val="BodyText1"/>
        <w:numPr>
          <w:ilvl w:val="0"/>
          <w:numId w:val="16"/>
        </w:numPr>
        <w:rPr>
          <w:rFonts w:ascii="Lato Light" w:hAnsi="Lato Light"/>
          <w:sz w:val="22"/>
          <w:szCs w:val="22"/>
        </w:rPr>
      </w:pPr>
      <w:r w:rsidRPr="31758B17">
        <w:rPr>
          <w:rFonts w:ascii="Lato Light" w:hAnsi="Lato Light"/>
          <w:sz w:val="22"/>
          <w:szCs w:val="22"/>
        </w:rPr>
        <w:lastRenderedPageBreak/>
        <w:t>Production of standardised reports (performance, attribution, holdings, risk) tailored to different client types.</w:t>
      </w:r>
    </w:p>
    <w:p w14:paraId="28DE4A87" w14:textId="7C55A238" w:rsidR="006B086A" w:rsidRPr="006B086A" w:rsidRDefault="006B086A" w:rsidP="00DF0E28">
      <w:pPr>
        <w:pStyle w:val="BodyText1"/>
        <w:numPr>
          <w:ilvl w:val="0"/>
          <w:numId w:val="16"/>
        </w:numPr>
        <w:rPr>
          <w:rFonts w:ascii="Lato Light" w:hAnsi="Lato Light"/>
          <w:sz w:val="22"/>
          <w:szCs w:val="22"/>
        </w:rPr>
      </w:pPr>
      <w:r w:rsidRPr="31758B17">
        <w:rPr>
          <w:rFonts w:ascii="Lato Light" w:hAnsi="Lato Light"/>
          <w:sz w:val="22"/>
          <w:szCs w:val="22"/>
        </w:rPr>
        <w:t xml:space="preserve">Support for templated and bespoke reporting across </w:t>
      </w:r>
      <w:r w:rsidR="00C063EB" w:rsidRPr="31758B17">
        <w:rPr>
          <w:rFonts w:ascii="Lato Light" w:hAnsi="Lato Light"/>
          <w:sz w:val="22"/>
          <w:szCs w:val="22"/>
        </w:rPr>
        <w:t xml:space="preserve">Private and Public </w:t>
      </w:r>
      <w:r w:rsidRPr="31758B17">
        <w:rPr>
          <w:rFonts w:ascii="Lato Light" w:hAnsi="Lato Light"/>
          <w:sz w:val="22"/>
          <w:szCs w:val="22"/>
        </w:rPr>
        <w:t>market fund structures.</w:t>
      </w:r>
    </w:p>
    <w:p w14:paraId="430E0A8F" w14:textId="77777777" w:rsidR="006B086A" w:rsidRPr="006B086A" w:rsidRDefault="006B086A" w:rsidP="00DF0E28">
      <w:pPr>
        <w:pStyle w:val="BodyText1"/>
        <w:numPr>
          <w:ilvl w:val="0"/>
          <w:numId w:val="16"/>
        </w:numPr>
        <w:rPr>
          <w:rFonts w:ascii="Lato Light" w:hAnsi="Lato Light"/>
          <w:sz w:val="22"/>
          <w:szCs w:val="22"/>
        </w:rPr>
      </w:pPr>
      <w:r w:rsidRPr="31758B17">
        <w:rPr>
          <w:rFonts w:ascii="Lato Light" w:hAnsi="Lato Light"/>
          <w:sz w:val="22"/>
          <w:szCs w:val="22"/>
        </w:rPr>
        <w:t>Adherence to agreed reporting deadlines and publication schedules.</w:t>
      </w:r>
    </w:p>
    <w:p w14:paraId="038E5EB8" w14:textId="77777777" w:rsidR="006B086A" w:rsidRDefault="006B086A" w:rsidP="00DF0E28">
      <w:pPr>
        <w:pStyle w:val="BodyText1"/>
        <w:numPr>
          <w:ilvl w:val="0"/>
          <w:numId w:val="16"/>
        </w:numPr>
        <w:rPr>
          <w:rFonts w:ascii="Lato Light" w:hAnsi="Lato Light"/>
          <w:sz w:val="22"/>
          <w:szCs w:val="22"/>
        </w:rPr>
      </w:pPr>
      <w:r w:rsidRPr="31758B17">
        <w:rPr>
          <w:rFonts w:ascii="Lato Light" w:hAnsi="Lato Light"/>
          <w:sz w:val="22"/>
          <w:szCs w:val="22"/>
        </w:rPr>
        <w:t>Support for ESG and stewardship-related metrics and disclosures.</w:t>
      </w:r>
    </w:p>
    <w:p w14:paraId="43225285" w14:textId="68C1E8E0" w:rsidR="00965B8C" w:rsidRPr="006B086A" w:rsidRDefault="00965B8C" w:rsidP="00DF0E28">
      <w:pPr>
        <w:pStyle w:val="BodyText1"/>
        <w:numPr>
          <w:ilvl w:val="0"/>
          <w:numId w:val="16"/>
        </w:numPr>
        <w:rPr>
          <w:rFonts w:ascii="Lato Light" w:hAnsi="Lato Light"/>
          <w:sz w:val="22"/>
          <w:szCs w:val="22"/>
        </w:rPr>
      </w:pPr>
      <w:r w:rsidRPr="31758B17">
        <w:rPr>
          <w:rFonts w:ascii="Lato Light" w:hAnsi="Lato Light"/>
          <w:sz w:val="22"/>
          <w:szCs w:val="22"/>
        </w:rPr>
        <w:t>Support for SFDR, TCFD, and TNFD reporting where required</w:t>
      </w:r>
    </w:p>
    <w:p w14:paraId="7A04A633" w14:textId="77777777" w:rsidR="006B086A" w:rsidRPr="006B086A" w:rsidRDefault="006B086A" w:rsidP="006B086A">
      <w:pPr>
        <w:pStyle w:val="BodyText1"/>
        <w:rPr>
          <w:rFonts w:ascii="Lato Light" w:hAnsi="Lato Light"/>
          <w:sz w:val="22"/>
          <w:szCs w:val="22"/>
        </w:rPr>
      </w:pPr>
      <w:r w:rsidRPr="31758B17">
        <w:rPr>
          <w:rFonts w:ascii="Lato Light" w:hAnsi="Lato Light"/>
          <w:sz w:val="22"/>
          <w:szCs w:val="22"/>
        </w:rPr>
        <w:t>Data Integration</w:t>
      </w:r>
    </w:p>
    <w:p w14:paraId="198DB22A" w14:textId="77777777" w:rsidR="006B086A" w:rsidRPr="006B086A" w:rsidRDefault="006B086A" w:rsidP="00DF0E28">
      <w:pPr>
        <w:pStyle w:val="BodyText1"/>
        <w:numPr>
          <w:ilvl w:val="0"/>
          <w:numId w:val="17"/>
        </w:numPr>
        <w:rPr>
          <w:rFonts w:ascii="Lato Light" w:hAnsi="Lato Light"/>
          <w:sz w:val="22"/>
          <w:szCs w:val="22"/>
        </w:rPr>
      </w:pPr>
      <w:r w:rsidRPr="31758B17">
        <w:rPr>
          <w:rFonts w:ascii="Lato Light" w:hAnsi="Lato Light"/>
          <w:sz w:val="22"/>
          <w:szCs w:val="22"/>
        </w:rPr>
        <w:t>Integration with third-party systems (e.g. custodians, fund admins) to automatically ingest data.</w:t>
      </w:r>
    </w:p>
    <w:p w14:paraId="3F09137A" w14:textId="77777777" w:rsidR="006B086A" w:rsidRDefault="006B086A" w:rsidP="00DF0E28">
      <w:pPr>
        <w:pStyle w:val="BodyText1"/>
        <w:numPr>
          <w:ilvl w:val="0"/>
          <w:numId w:val="17"/>
        </w:numPr>
        <w:rPr>
          <w:rFonts w:ascii="Lato Light" w:hAnsi="Lato Light"/>
          <w:sz w:val="22"/>
          <w:szCs w:val="22"/>
        </w:rPr>
      </w:pPr>
      <w:r w:rsidRPr="31758B17">
        <w:rPr>
          <w:rFonts w:ascii="Lato Light" w:hAnsi="Lato Light"/>
          <w:sz w:val="22"/>
          <w:szCs w:val="22"/>
        </w:rPr>
        <w:t>Reconciliation of data feeds and validation of input data for accuracy.</w:t>
      </w:r>
    </w:p>
    <w:p w14:paraId="64BFFE1E" w14:textId="14FED5BA" w:rsidR="00444FBF" w:rsidRPr="006B086A" w:rsidRDefault="00444FBF" w:rsidP="00DF0E28">
      <w:pPr>
        <w:pStyle w:val="BodyText1"/>
        <w:numPr>
          <w:ilvl w:val="0"/>
          <w:numId w:val="17"/>
        </w:numPr>
        <w:rPr>
          <w:rFonts w:ascii="Lato Light" w:hAnsi="Lato Light"/>
          <w:sz w:val="22"/>
          <w:szCs w:val="22"/>
        </w:rPr>
      </w:pPr>
      <w:r w:rsidRPr="31758B17">
        <w:rPr>
          <w:rFonts w:ascii="Lato Light" w:hAnsi="Lato Light"/>
          <w:sz w:val="22"/>
          <w:szCs w:val="22"/>
        </w:rPr>
        <w:t>Data validation processes and audit logs for change management</w:t>
      </w:r>
    </w:p>
    <w:p w14:paraId="70731423" w14:textId="6F0B55A1" w:rsidR="006B086A" w:rsidRPr="006B086A" w:rsidRDefault="006B086A" w:rsidP="00DF0E28">
      <w:pPr>
        <w:pStyle w:val="BodyText1"/>
        <w:numPr>
          <w:ilvl w:val="0"/>
          <w:numId w:val="17"/>
        </w:numPr>
        <w:rPr>
          <w:rFonts w:ascii="Lato Light" w:hAnsi="Lato Light"/>
          <w:sz w:val="22"/>
          <w:szCs w:val="22"/>
        </w:rPr>
      </w:pPr>
      <w:r w:rsidRPr="31758B17">
        <w:rPr>
          <w:rFonts w:ascii="Lato Light" w:hAnsi="Lato Light"/>
          <w:sz w:val="22"/>
          <w:szCs w:val="22"/>
        </w:rPr>
        <w:t>Daily/weekly</w:t>
      </w:r>
      <w:r w:rsidR="00754808" w:rsidRPr="31758B17">
        <w:rPr>
          <w:rFonts w:ascii="Lato Light" w:hAnsi="Lato Light"/>
          <w:sz w:val="22"/>
          <w:szCs w:val="22"/>
        </w:rPr>
        <w:t>/monthly/Quarterly</w:t>
      </w:r>
      <w:r w:rsidRPr="31758B17">
        <w:rPr>
          <w:rFonts w:ascii="Lato Light" w:hAnsi="Lato Light"/>
          <w:sz w:val="22"/>
          <w:szCs w:val="22"/>
        </w:rPr>
        <w:t xml:space="preserve"> automated data refresh where required.</w:t>
      </w:r>
    </w:p>
    <w:p w14:paraId="4EADEAF3" w14:textId="77777777" w:rsidR="006B086A" w:rsidRPr="006B086A" w:rsidRDefault="006B086A" w:rsidP="006B086A">
      <w:pPr>
        <w:pStyle w:val="BodyText1"/>
        <w:rPr>
          <w:rFonts w:ascii="Lato Light" w:hAnsi="Lato Light"/>
          <w:sz w:val="22"/>
          <w:szCs w:val="22"/>
        </w:rPr>
      </w:pPr>
      <w:r w:rsidRPr="31758B17">
        <w:rPr>
          <w:rFonts w:ascii="Lato Light" w:hAnsi="Lato Light"/>
          <w:sz w:val="22"/>
          <w:szCs w:val="22"/>
        </w:rPr>
        <w:t>Reporting Flexibility</w:t>
      </w:r>
    </w:p>
    <w:p w14:paraId="0FD64DA2" w14:textId="77777777" w:rsidR="006B086A" w:rsidRPr="006B086A" w:rsidRDefault="006B086A" w:rsidP="00DF0E28">
      <w:pPr>
        <w:pStyle w:val="BodyText1"/>
        <w:numPr>
          <w:ilvl w:val="0"/>
          <w:numId w:val="18"/>
        </w:numPr>
        <w:rPr>
          <w:rFonts w:ascii="Lato Light" w:hAnsi="Lato Light"/>
          <w:sz w:val="22"/>
          <w:szCs w:val="22"/>
        </w:rPr>
      </w:pPr>
      <w:r w:rsidRPr="31758B17">
        <w:rPr>
          <w:rFonts w:ascii="Lato Light" w:hAnsi="Lato Light"/>
          <w:sz w:val="22"/>
          <w:szCs w:val="22"/>
        </w:rPr>
        <w:t>Support for evolving templates, branding, regulatory disclosures, and investor requirements.</w:t>
      </w:r>
    </w:p>
    <w:p w14:paraId="0D442041" w14:textId="77777777" w:rsidR="006B086A" w:rsidRDefault="006B086A" w:rsidP="00DF0E28">
      <w:pPr>
        <w:pStyle w:val="BodyText1"/>
        <w:numPr>
          <w:ilvl w:val="0"/>
          <w:numId w:val="18"/>
        </w:numPr>
        <w:rPr>
          <w:rFonts w:ascii="Lato Light" w:hAnsi="Lato Light"/>
          <w:sz w:val="22"/>
          <w:szCs w:val="22"/>
        </w:rPr>
      </w:pPr>
      <w:r w:rsidRPr="31758B17">
        <w:rPr>
          <w:rFonts w:ascii="Lato Light" w:hAnsi="Lato Light"/>
          <w:sz w:val="22"/>
          <w:szCs w:val="22"/>
        </w:rPr>
        <w:t>Ability to accommodate new mandates or fund launches with minimal lead time.</w:t>
      </w:r>
    </w:p>
    <w:p w14:paraId="5A6CDB41" w14:textId="627EA4CE" w:rsidR="009F1356" w:rsidRDefault="009F1356" w:rsidP="00DF0E28">
      <w:pPr>
        <w:pStyle w:val="BodyText1"/>
        <w:numPr>
          <w:ilvl w:val="0"/>
          <w:numId w:val="18"/>
        </w:numPr>
        <w:rPr>
          <w:rFonts w:ascii="Lato Light" w:hAnsi="Lato Light"/>
          <w:sz w:val="22"/>
          <w:szCs w:val="22"/>
        </w:rPr>
      </w:pPr>
      <w:r w:rsidRPr="31758B17">
        <w:rPr>
          <w:rFonts w:ascii="Lato Light" w:hAnsi="Lato Light"/>
          <w:sz w:val="22"/>
          <w:szCs w:val="22"/>
        </w:rPr>
        <w:t>Support for cross-fund and cross-</w:t>
      </w:r>
      <w:r w:rsidR="000F2557" w:rsidRPr="31758B17">
        <w:rPr>
          <w:rFonts w:ascii="Lato Light" w:hAnsi="Lato Light"/>
          <w:sz w:val="22"/>
          <w:szCs w:val="22"/>
        </w:rPr>
        <w:t xml:space="preserve">client </w:t>
      </w:r>
      <w:r w:rsidRPr="31758B17">
        <w:rPr>
          <w:rFonts w:ascii="Lato Light" w:hAnsi="Lato Light"/>
          <w:sz w:val="22"/>
          <w:szCs w:val="22"/>
        </w:rPr>
        <w:t>asset consolidated views</w:t>
      </w:r>
    </w:p>
    <w:p w14:paraId="7580686B" w14:textId="083F4EE2" w:rsidR="002E6B51" w:rsidRPr="006B086A" w:rsidRDefault="002E6B51" w:rsidP="00DF0E28">
      <w:pPr>
        <w:pStyle w:val="BodyText1"/>
        <w:numPr>
          <w:ilvl w:val="0"/>
          <w:numId w:val="18"/>
        </w:numPr>
        <w:rPr>
          <w:rFonts w:ascii="Lato Light" w:hAnsi="Lato Light"/>
          <w:sz w:val="22"/>
          <w:szCs w:val="22"/>
        </w:rPr>
      </w:pPr>
      <w:r w:rsidRPr="31758B17">
        <w:rPr>
          <w:rFonts w:ascii="Lato Light" w:hAnsi="Lato Light"/>
          <w:sz w:val="22"/>
          <w:szCs w:val="22"/>
        </w:rPr>
        <w:t>Scalable report configuration through no-code or low-code tools</w:t>
      </w:r>
    </w:p>
    <w:p w14:paraId="5D0AA1BD" w14:textId="77777777" w:rsidR="006B086A" w:rsidRPr="006B086A" w:rsidRDefault="006B086A" w:rsidP="006B086A">
      <w:pPr>
        <w:pStyle w:val="BodyText1"/>
        <w:rPr>
          <w:rFonts w:ascii="Lato Light" w:hAnsi="Lato Light"/>
          <w:sz w:val="22"/>
          <w:szCs w:val="22"/>
        </w:rPr>
      </w:pPr>
      <w:r w:rsidRPr="31758B17">
        <w:rPr>
          <w:rFonts w:ascii="Lato Light" w:hAnsi="Lato Light"/>
          <w:sz w:val="22"/>
          <w:szCs w:val="22"/>
        </w:rPr>
        <w:t>Oversight &amp; Engagement Tools</w:t>
      </w:r>
    </w:p>
    <w:p w14:paraId="1B46CFE6" w14:textId="77777777" w:rsidR="006B086A" w:rsidRPr="006B086A" w:rsidRDefault="006B086A" w:rsidP="00DF0E28">
      <w:pPr>
        <w:pStyle w:val="BodyText1"/>
        <w:numPr>
          <w:ilvl w:val="0"/>
          <w:numId w:val="19"/>
        </w:numPr>
        <w:rPr>
          <w:rFonts w:ascii="Lato Light" w:hAnsi="Lato Light"/>
          <w:sz w:val="22"/>
          <w:szCs w:val="22"/>
        </w:rPr>
      </w:pPr>
      <w:r w:rsidRPr="31758B17">
        <w:rPr>
          <w:rFonts w:ascii="Lato Light" w:hAnsi="Lato Light"/>
          <w:sz w:val="22"/>
          <w:szCs w:val="22"/>
        </w:rPr>
        <w:t>Provision of dashboards to track reporting completion, delays, or data issues.</w:t>
      </w:r>
    </w:p>
    <w:p w14:paraId="2123065E" w14:textId="77777777" w:rsidR="006B086A" w:rsidRPr="006B086A" w:rsidRDefault="006B086A" w:rsidP="00DF0E28">
      <w:pPr>
        <w:pStyle w:val="BodyText1"/>
        <w:numPr>
          <w:ilvl w:val="0"/>
          <w:numId w:val="19"/>
        </w:numPr>
        <w:rPr>
          <w:rFonts w:ascii="Lato Light" w:hAnsi="Lato Light"/>
          <w:sz w:val="22"/>
          <w:szCs w:val="22"/>
        </w:rPr>
      </w:pPr>
      <w:r w:rsidRPr="31758B17">
        <w:rPr>
          <w:rFonts w:ascii="Lato Light" w:hAnsi="Lato Light"/>
          <w:sz w:val="22"/>
          <w:szCs w:val="22"/>
        </w:rPr>
        <w:t>Workflow tools to support approval and escalation processes.</w:t>
      </w:r>
    </w:p>
    <w:p w14:paraId="4CDF0A88" w14:textId="77777777" w:rsidR="006B086A" w:rsidRDefault="006B086A" w:rsidP="00DF0E28">
      <w:pPr>
        <w:pStyle w:val="BodyText1"/>
        <w:numPr>
          <w:ilvl w:val="0"/>
          <w:numId w:val="19"/>
        </w:numPr>
        <w:rPr>
          <w:rFonts w:ascii="Lato Light" w:hAnsi="Lato Light"/>
          <w:sz w:val="22"/>
          <w:szCs w:val="22"/>
        </w:rPr>
      </w:pPr>
      <w:r w:rsidRPr="31758B17">
        <w:rPr>
          <w:rFonts w:ascii="Lato Light" w:hAnsi="Lato Light"/>
          <w:sz w:val="22"/>
          <w:szCs w:val="22"/>
        </w:rPr>
        <w:t>Audit trails and export functionality for internal oversight.</w:t>
      </w:r>
    </w:p>
    <w:p w14:paraId="4BED549B" w14:textId="77777777" w:rsidR="00822551" w:rsidRPr="00822551" w:rsidRDefault="00822551" w:rsidP="00822551">
      <w:pPr>
        <w:pStyle w:val="BodyText1"/>
        <w:rPr>
          <w:rFonts w:ascii="Lato Light" w:hAnsi="Lato Light"/>
          <w:sz w:val="22"/>
          <w:szCs w:val="22"/>
        </w:rPr>
      </w:pPr>
      <w:r w:rsidRPr="31758B17">
        <w:rPr>
          <w:rFonts w:ascii="Lato Light" w:hAnsi="Lato Light"/>
          <w:sz w:val="22"/>
          <w:szCs w:val="22"/>
        </w:rPr>
        <w:t>Suppliers are expected to:</w:t>
      </w:r>
    </w:p>
    <w:p w14:paraId="6AD3A927" w14:textId="77777777" w:rsidR="00822551" w:rsidRPr="00822551" w:rsidRDefault="00822551" w:rsidP="00822551">
      <w:pPr>
        <w:pStyle w:val="BodyText1"/>
        <w:rPr>
          <w:rFonts w:ascii="Lato Light" w:hAnsi="Lato Light"/>
          <w:sz w:val="22"/>
          <w:szCs w:val="22"/>
        </w:rPr>
      </w:pPr>
      <w:r w:rsidRPr="31758B17">
        <w:rPr>
          <w:rFonts w:ascii="Lato Light" w:hAnsi="Lato Light"/>
          <w:sz w:val="22"/>
          <w:szCs w:val="22"/>
        </w:rPr>
        <w:t>Demonstrate advanced, flexible reporting platforms and delivery formats</w:t>
      </w:r>
    </w:p>
    <w:p w14:paraId="550D3E1E" w14:textId="77777777" w:rsidR="00822551" w:rsidRPr="00822551" w:rsidRDefault="00822551" w:rsidP="00822551">
      <w:pPr>
        <w:pStyle w:val="BodyText1"/>
        <w:rPr>
          <w:rFonts w:ascii="Lato Light" w:hAnsi="Lato Light"/>
          <w:sz w:val="22"/>
          <w:szCs w:val="22"/>
        </w:rPr>
      </w:pPr>
      <w:r w:rsidRPr="31758B17">
        <w:rPr>
          <w:rFonts w:ascii="Lato Light" w:hAnsi="Lato Light"/>
          <w:sz w:val="22"/>
          <w:szCs w:val="22"/>
        </w:rPr>
        <w:t>Offer reporting aligned to regulatory and client-specific reporting cycles</w:t>
      </w:r>
    </w:p>
    <w:p w14:paraId="7814F5F6" w14:textId="77777777" w:rsidR="00822551" w:rsidRPr="00822551" w:rsidRDefault="00822551" w:rsidP="00822551">
      <w:pPr>
        <w:pStyle w:val="BodyText1"/>
        <w:rPr>
          <w:rFonts w:ascii="Lato Light" w:hAnsi="Lato Light"/>
          <w:sz w:val="22"/>
          <w:szCs w:val="22"/>
        </w:rPr>
      </w:pPr>
      <w:r w:rsidRPr="31758B17">
        <w:rPr>
          <w:rFonts w:ascii="Lato Light" w:hAnsi="Lato Light"/>
          <w:sz w:val="22"/>
          <w:szCs w:val="22"/>
        </w:rPr>
        <w:t>Show integration capabilities with fund administrators, custodians, and performance providers</w:t>
      </w:r>
    </w:p>
    <w:p w14:paraId="0CAB16AB" w14:textId="572CE23D" w:rsidR="00822551" w:rsidRPr="006B086A" w:rsidRDefault="00822551" w:rsidP="00094BC5">
      <w:pPr>
        <w:pStyle w:val="BodyText1"/>
        <w:rPr>
          <w:rFonts w:ascii="Lato Light" w:hAnsi="Lato Light"/>
          <w:sz w:val="22"/>
          <w:szCs w:val="22"/>
        </w:rPr>
      </w:pPr>
      <w:r w:rsidRPr="31758B17">
        <w:rPr>
          <w:rFonts w:ascii="Lato Light" w:hAnsi="Lato Light"/>
          <w:sz w:val="22"/>
          <w:szCs w:val="22"/>
        </w:rPr>
        <w:t>Evidence client access tools and transparency features</w:t>
      </w:r>
    </w:p>
    <w:p w14:paraId="007DDB1D" w14:textId="423F5DCC" w:rsidR="007A0508" w:rsidRPr="007A0508" w:rsidRDefault="007A0508" w:rsidP="007A0508">
      <w:pPr>
        <w:pStyle w:val="BodyText1"/>
        <w:rPr>
          <w:rFonts w:ascii="Lato Light" w:hAnsi="Lato Light"/>
          <w:sz w:val="22"/>
          <w:szCs w:val="22"/>
        </w:rPr>
      </w:pPr>
    </w:p>
    <w:p w14:paraId="36E1601B" w14:textId="699D81DE" w:rsidR="007A0508" w:rsidRPr="007A0508" w:rsidRDefault="007A0508" w:rsidP="007A0508">
      <w:pPr>
        <w:pStyle w:val="BodyText1"/>
        <w:rPr>
          <w:rFonts w:ascii="Lato Light" w:hAnsi="Lato Light"/>
          <w:sz w:val="22"/>
          <w:szCs w:val="22"/>
        </w:rPr>
      </w:pPr>
      <w:r w:rsidRPr="31758B17">
        <w:rPr>
          <w:rFonts w:ascii="Lato Light" w:hAnsi="Lato Light"/>
          <w:sz w:val="22"/>
          <w:szCs w:val="22"/>
        </w:rPr>
        <w:t>Lot 3 – Ancillary Services</w:t>
      </w:r>
      <w:r w:rsidR="00E47E09" w:rsidRPr="31758B17">
        <w:rPr>
          <w:rFonts w:ascii="Lato Light" w:hAnsi="Lato Light"/>
          <w:sz w:val="22"/>
          <w:szCs w:val="22"/>
        </w:rPr>
        <w:t xml:space="preserve"> </w:t>
      </w:r>
      <w:r w:rsidR="00F47116" w:rsidRPr="31758B17">
        <w:rPr>
          <w:rFonts w:ascii="Lato Light" w:hAnsi="Lato Light"/>
          <w:sz w:val="22"/>
          <w:szCs w:val="22"/>
        </w:rPr>
        <w:t xml:space="preserve">- Lot 3 comprises additional </w:t>
      </w:r>
      <w:r w:rsidR="005E6E41" w:rsidRPr="31758B17">
        <w:rPr>
          <w:rFonts w:ascii="Lato Light" w:hAnsi="Lato Light"/>
          <w:sz w:val="22"/>
          <w:szCs w:val="22"/>
        </w:rPr>
        <w:t>value-added</w:t>
      </w:r>
      <w:r w:rsidR="00F47116" w:rsidRPr="31758B17">
        <w:rPr>
          <w:rFonts w:ascii="Lato Light" w:hAnsi="Lato Light"/>
          <w:sz w:val="22"/>
          <w:szCs w:val="22"/>
        </w:rPr>
        <w:t xml:space="preserve"> services that may be required by the Authority in future. These services will be tendered as part of this </w:t>
      </w:r>
      <w:proofErr w:type="gramStart"/>
      <w:r w:rsidR="00F47116" w:rsidRPr="31758B17">
        <w:rPr>
          <w:rFonts w:ascii="Lato Light" w:hAnsi="Lato Light"/>
          <w:sz w:val="22"/>
          <w:szCs w:val="22"/>
        </w:rPr>
        <w:t>procurement</w:t>
      </w:r>
      <w:r w:rsidR="005E6E41" w:rsidRPr="31758B17">
        <w:rPr>
          <w:rFonts w:ascii="Lato Light" w:hAnsi="Lato Light"/>
          <w:sz w:val="22"/>
          <w:szCs w:val="22"/>
        </w:rPr>
        <w:t>,</w:t>
      </w:r>
      <w:r w:rsidR="00F47116" w:rsidRPr="31758B17">
        <w:rPr>
          <w:rFonts w:ascii="Lato Light" w:hAnsi="Lato Light"/>
          <w:sz w:val="22"/>
          <w:szCs w:val="22"/>
        </w:rPr>
        <w:t xml:space="preserve"> but</w:t>
      </w:r>
      <w:proofErr w:type="gramEnd"/>
      <w:r w:rsidR="00F47116" w:rsidRPr="31758B17">
        <w:rPr>
          <w:rFonts w:ascii="Lato Light" w:hAnsi="Lato Light"/>
          <w:sz w:val="22"/>
          <w:szCs w:val="22"/>
        </w:rPr>
        <w:t xml:space="preserve"> are not </w:t>
      </w:r>
      <w:r w:rsidR="00F47116" w:rsidRPr="31758B17">
        <w:rPr>
          <w:rFonts w:ascii="Lato Light" w:hAnsi="Lato Light"/>
          <w:sz w:val="22"/>
          <w:szCs w:val="22"/>
        </w:rPr>
        <w:lastRenderedPageBreak/>
        <w:t>guaranteed to be implemented. The inclusion of Lot 3 is intended to support strategic flexibility and operational scalability</w:t>
      </w:r>
    </w:p>
    <w:p w14:paraId="7F30CC3D" w14:textId="2B880200" w:rsidR="007A0508" w:rsidRPr="007A0508" w:rsidRDefault="007A0508" w:rsidP="007A0508">
      <w:pPr>
        <w:pStyle w:val="BodyText1"/>
        <w:rPr>
          <w:rFonts w:ascii="Lato Light" w:hAnsi="Lato Light"/>
          <w:sz w:val="22"/>
          <w:szCs w:val="22"/>
        </w:rPr>
      </w:pPr>
    </w:p>
    <w:p w14:paraId="5219B0BD" w14:textId="77777777" w:rsidR="007A0508" w:rsidRDefault="007A0508" w:rsidP="007A0508">
      <w:pPr>
        <w:pStyle w:val="BodyText1"/>
        <w:rPr>
          <w:rFonts w:ascii="Lato Light" w:hAnsi="Lato Light"/>
          <w:sz w:val="22"/>
          <w:szCs w:val="22"/>
        </w:rPr>
      </w:pPr>
      <w:r w:rsidRPr="31758B17">
        <w:rPr>
          <w:rFonts w:ascii="Lato Light" w:hAnsi="Lato Light"/>
          <w:sz w:val="22"/>
          <w:szCs w:val="22"/>
        </w:rPr>
        <w:t>Performance Measurement and Attribution</w:t>
      </w:r>
    </w:p>
    <w:p w14:paraId="6A9BA6E2" w14:textId="12690B47" w:rsidR="000E36AD" w:rsidRDefault="000E36AD" w:rsidP="00094BC5">
      <w:pPr>
        <w:pStyle w:val="BodyText1"/>
        <w:numPr>
          <w:ilvl w:val="0"/>
          <w:numId w:val="20"/>
        </w:numPr>
        <w:rPr>
          <w:rFonts w:ascii="Lato Light" w:hAnsi="Lato Light"/>
          <w:sz w:val="22"/>
          <w:szCs w:val="22"/>
        </w:rPr>
      </w:pPr>
      <w:r w:rsidRPr="31758B17">
        <w:rPr>
          <w:rFonts w:ascii="Lato Light" w:hAnsi="Lato Light"/>
          <w:sz w:val="22"/>
          <w:szCs w:val="22"/>
        </w:rPr>
        <w:t>Delivery of absolute and relative performance figures across portfolio and benchmarks</w:t>
      </w:r>
    </w:p>
    <w:p w14:paraId="264C4D41" w14:textId="7C768A11" w:rsidR="00D743BC" w:rsidRPr="00D743BC" w:rsidRDefault="00D743BC" w:rsidP="00094BC5">
      <w:pPr>
        <w:pStyle w:val="BodyText1"/>
        <w:numPr>
          <w:ilvl w:val="0"/>
          <w:numId w:val="20"/>
        </w:numPr>
        <w:rPr>
          <w:rFonts w:ascii="Lato Light" w:hAnsi="Lato Light"/>
          <w:sz w:val="22"/>
          <w:szCs w:val="22"/>
        </w:rPr>
      </w:pPr>
      <w:r w:rsidRPr="31758B17">
        <w:rPr>
          <w:rFonts w:ascii="Lato Light" w:hAnsi="Lato Light"/>
          <w:sz w:val="22"/>
          <w:szCs w:val="22"/>
        </w:rPr>
        <w:t>Daily and monthly performance calculations at total fund, asset class, and security level.</w:t>
      </w:r>
    </w:p>
    <w:p w14:paraId="22D84DD8" w14:textId="77777777" w:rsidR="00D743BC" w:rsidRPr="00D743BC" w:rsidRDefault="00D743BC" w:rsidP="00094BC5">
      <w:pPr>
        <w:pStyle w:val="BodyText1"/>
        <w:numPr>
          <w:ilvl w:val="0"/>
          <w:numId w:val="20"/>
        </w:numPr>
        <w:rPr>
          <w:rFonts w:ascii="Lato Light" w:hAnsi="Lato Light"/>
          <w:sz w:val="22"/>
          <w:szCs w:val="22"/>
        </w:rPr>
      </w:pPr>
      <w:r w:rsidRPr="31758B17">
        <w:rPr>
          <w:rFonts w:ascii="Lato Light" w:hAnsi="Lato Light"/>
          <w:sz w:val="22"/>
          <w:szCs w:val="22"/>
        </w:rPr>
        <w:t>Time-weighted and money-weighted returns with appropriate benchmarks.</w:t>
      </w:r>
    </w:p>
    <w:p w14:paraId="45FD8A0C" w14:textId="50CF4658" w:rsidR="00D743BC" w:rsidRDefault="00692553" w:rsidP="00094BC5">
      <w:pPr>
        <w:pStyle w:val="BodyText1"/>
        <w:numPr>
          <w:ilvl w:val="0"/>
          <w:numId w:val="20"/>
        </w:numPr>
        <w:rPr>
          <w:rFonts w:ascii="Lato Light" w:hAnsi="Lato Light"/>
          <w:sz w:val="22"/>
          <w:szCs w:val="22"/>
        </w:rPr>
      </w:pPr>
      <w:r w:rsidRPr="31758B17">
        <w:rPr>
          <w:rFonts w:ascii="Lato Light" w:hAnsi="Lato Light"/>
          <w:sz w:val="22"/>
          <w:szCs w:val="22"/>
        </w:rPr>
        <w:t>A</w:t>
      </w:r>
      <w:r w:rsidR="00D743BC" w:rsidRPr="31758B17">
        <w:rPr>
          <w:rFonts w:ascii="Lato Light" w:hAnsi="Lato Light"/>
          <w:sz w:val="22"/>
          <w:szCs w:val="22"/>
        </w:rPr>
        <w:t>ttribution models to support manager evaluation.</w:t>
      </w:r>
    </w:p>
    <w:p w14:paraId="5333D28A" w14:textId="6F7DBE61" w:rsidR="00D743BC" w:rsidRPr="007A0508" w:rsidRDefault="00D743BC" w:rsidP="00094BC5">
      <w:pPr>
        <w:pStyle w:val="BodyText1"/>
        <w:numPr>
          <w:ilvl w:val="0"/>
          <w:numId w:val="20"/>
        </w:numPr>
        <w:rPr>
          <w:rFonts w:ascii="Lato Light" w:hAnsi="Lato Light"/>
          <w:sz w:val="22"/>
          <w:szCs w:val="22"/>
        </w:rPr>
      </w:pPr>
      <w:r w:rsidRPr="31758B17">
        <w:rPr>
          <w:rFonts w:ascii="Lato Light" w:hAnsi="Lato Light"/>
          <w:sz w:val="22"/>
          <w:szCs w:val="22"/>
        </w:rPr>
        <w:t>Performance dashboards and historical performance reports.</w:t>
      </w:r>
    </w:p>
    <w:p w14:paraId="52425179"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Fund Compliance and Breach Monitoring</w:t>
      </w:r>
    </w:p>
    <w:p w14:paraId="5C580D80" w14:textId="77777777" w:rsidR="0023520B" w:rsidRPr="0023520B" w:rsidRDefault="0023520B" w:rsidP="00094BC5">
      <w:pPr>
        <w:pStyle w:val="BodyText1"/>
        <w:numPr>
          <w:ilvl w:val="0"/>
          <w:numId w:val="21"/>
        </w:numPr>
        <w:rPr>
          <w:rFonts w:ascii="Lato Light" w:hAnsi="Lato Light"/>
          <w:sz w:val="22"/>
          <w:szCs w:val="22"/>
        </w:rPr>
      </w:pPr>
      <w:r w:rsidRPr="31758B17">
        <w:rPr>
          <w:rFonts w:ascii="Lato Light" w:hAnsi="Lato Light"/>
          <w:sz w:val="22"/>
          <w:szCs w:val="22"/>
        </w:rPr>
        <w:t>Setup and maintenance of investment compliance rules based on fund prospectuses and mandates.</w:t>
      </w:r>
    </w:p>
    <w:p w14:paraId="6FDE134A" w14:textId="77777777" w:rsidR="0023520B" w:rsidRPr="0023520B" w:rsidRDefault="0023520B" w:rsidP="00094BC5">
      <w:pPr>
        <w:pStyle w:val="BodyText1"/>
        <w:numPr>
          <w:ilvl w:val="0"/>
          <w:numId w:val="21"/>
        </w:numPr>
        <w:rPr>
          <w:rFonts w:ascii="Lato Light" w:hAnsi="Lato Light"/>
          <w:sz w:val="22"/>
          <w:szCs w:val="22"/>
        </w:rPr>
      </w:pPr>
      <w:r w:rsidRPr="31758B17">
        <w:rPr>
          <w:rFonts w:ascii="Lato Light" w:hAnsi="Lato Light"/>
          <w:sz w:val="22"/>
          <w:szCs w:val="22"/>
        </w:rPr>
        <w:t>Daily automated breach checks against key metrics (e.g. issuer concentration, duration, credit rating).</w:t>
      </w:r>
    </w:p>
    <w:p w14:paraId="7865945D" w14:textId="77777777" w:rsidR="0023520B" w:rsidRPr="0023520B" w:rsidRDefault="0023520B" w:rsidP="00094BC5">
      <w:pPr>
        <w:pStyle w:val="BodyText1"/>
        <w:numPr>
          <w:ilvl w:val="0"/>
          <w:numId w:val="21"/>
        </w:numPr>
        <w:rPr>
          <w:rFonts w:ascii="Lato Light" w:hAnsi="Lato Light"/>
          <w:sz w:val="22"/>
          <w:szCs w:val="22"/>
        </w:rPr>
      </w:pPr>
      <w:r w:rsidRPr="31758B17">
        <w:rPr>
          <w:rFonts w:ascii="Lato Light" w:hAnsi="Lato Light"/>
          <w:sz w:val="22"/>
          <w:szCs w:val="22"/>
        </w:rPr>
        <w:t>Alerts, reporting, and audit trails for compliance monitoring.</w:t>
      </w:r>
    </w:p>
    <w:p w14:paraId="6D354043" w14:textId="62F3FFD4" w:rsidR="00617608" w:rsidRDefault="0023520B" w:rsidP="00094BC5">
      <w:pPr>
        <w:pStyle w:val="BodyText1"/>
        <w:numPr>
          <w:ilvl w:val="0"/>
          <w:numId w:val="21"/>
        </w:numPr>
        <w:rPr>
          <w:rFonts w:ascii="Lato Light" w:hAnsi="Lato Light"/>
          <w:sz w:val="22"/>
          <w:szCs w:val="22"/>
        </w:rPr>
      </w:pPr>
      <w:r w:rsidRPr="31758B17">
        <w:rPr>
          <w:rFonts w:ascii="Lato Light" w:hAnsi="Lato Light"/>
          <w:sz w:val="22"/>
          <w:szCs w:val="22"/>
        </w:rPr>
        <w:t>Workflow and resolution tools to track breach resolution and reporting obligations.</w:t>
      </w:r>
    </w:p>
    <w:p w14:paraId="0BCEF1CA" w14:textId="1E9C4CA6" w:rsidR="007A0508" w:rsidRPr="007A0508" w:rsidRDefault="007A0508" w:rsidP="007A0508">
      <w:pPr>
        <w:pStyle w:val="BodyText1"/>
        <w:rPr>
          <w:rFonts w:ascii="Lato Light" w:hAnsi="Lato Light"/>
          <w:sz w:val="22"/>
          <w:szCs w:val="22"/>
        </w:rPr>
      </w:pPr>
      <w:r w:rsidRPr="007A0508">
        <w:rPr>
          <w:rFonts w:ascii="Lato Light" w:hAnsi="Lato Light"/>
          <w:sz w:val="22"/>
          <w:szCs w:val="22"/>
        </w:rPr>
        <w:t>Suppliers must clearly indicate the services offered within this Lot.</w:t>
      </w:r>
    </w:p>
    <w:p w14:paraId="3949A057"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Suppliers are expected to:</w:t>
      </w:r>
    </w:p>
    <w:p w14:paraId="02315210"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Demonstrate specialist expertise and systems in respective service areas</w:t>
      </w:r>
    </w:p>
    <w:p w14:paraId="7D8A7FAF"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Show integration ability with other vendors or platforms</w:t>
      </w:r>
    </w:p>
    <w:p w14:paraId="5BA0A437"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Provide examples of existing client service models and SLAs</w:t>
      </w:r>
    </w:p>
    <w:p w14:paraId="790A0DBE" w14:textId="77777777" w:rsidR="007A0508" w:rsidRPr="007A0508" w:rsidRDefault="007A0508" w:rsidP="007A0508">
      <w:pPr>
        <w:pStyle w:val="BodyText1"/>
        <w:rPr>
          <w:rFonts w:ascii="Lato Light" w:hAnsi="Lato Light"/>
          <w:sz w:val="22"/>
          <w:szCs w:val="22"/>
        </w:rPr>
      </w:pPr>
      <w:r w:rsidRPr="007A0508">
        <w:rPr>
          <w:rFonts w:ascii="Lato Light" w:hAnsi="Lato Light"/>
          <w:sz w:val="22"/>
          <w:szCs w:val="22"/>
        </w:rPr>
        <w:t>Meet regulatory and data governance expectations</w:t>
      </w:r>
    </w:p>
    <w:p w14:paraId="58DD0E86" w14:textId="77777777" w:rsidR="007A0508" w:rsidRDefault="007A0508" w:rsidP="003E3D85">
      <w:pPr>
        <w:pStyle w:val="BodyText1"/>
        <w:rPr>
          <w:rFonts w:ascii="Lato Light" w:hAnsi="Lato Light"/>
          <w:sz w:val="22"/>
          <w:szCs w:val="22"/>
        </w:rPr>
      </w:pPr>
    </w:p>
    <w:p w14:paraId="03D9D034" w14:textId="0A4617BB" w:rsidR="002147DD" w:rsidRDefault="002147DD" w:rsidP="00DF644D">
      <w:pPr>
        <w:pStyle w:val="Heading1"/>
        <w:numPr>
          <w:ilvl w:val="0"/>
          <w:numId w:val="0"/>
        </w:numPr>
      </w:pPr>
      <w:bookmarkStart w:id="25" w:name="_Toc201061310"/>
      <w:r>
        <w:lastRenderedPageBreak/>
        <w:t>Appendix C: Service Levels, Service Credits and KPIs</w:t>
      </w:r>
      <w:bookmarkEnd w:id="25"/>
    </w:p>
    <w:p w14:paraId="57119A04" w14:textId="3A72DE6B" w:rsidR="007D0F49" w:rsidRPr="0012416B" w:rsidRDefault="007D0F49" w:rsidP="0012416B">
      <w:pPr>
        <w:pStyle w:val="BodyText1"/>
        <w:spacing w:after="0" w:line="360" w:lineRule="auto"/>
        <w:jc w:val="both"/>
        <w:rPr>
          <w:rFonts w:ascii="Lato Light" w:hAnsi="Lato Light"/>
          <w:b/>
          <w:bCs/>
          <w:sz w:val="22"/>
          <w:szCs w:val="22"/>
        </w:rPr>
      </w:pPr>
      <w:r w:rsidRPr="0012416B">
        <w:rPr>
          <w:b/>
          <w:bCs/>
        </w:rPr>
        <w:t>Service Levels</w:t>
      </w:r>
    </w:p>
    <w:p w14:paraId="460D3A9B" w14:textId="7D0A74EC" w:rsidR="002F7903" w:rsidRDefault="002F7903" w:rsidP="002F7903">
      <w:pPr>
        <w:pStyle w:val="BodyText1"/>
        <w:spacing w:line="360" w:lineRule="auto"/>
        <w:jc w:val="both"/>
      </w:pPr>
      <w:r>
        <w:t>This appendix sets out the Authority’s minimum expectations for Service Levels</w:t>
      </w:r>
      <w:r w:rsidR="000D6407">
        <w:t xml:space="preserve"> </w:t>
      </w:r>
      <w:r>
        <w:t>and the monitoring of Key Performance Indicators (KPIs). These apply across all awarded Lots and will form part of the contractual Schedule 10 – Service Levels.</w:t>
      </w:r>
    </w:p>
    <w:p w14:paraId="5F28F125" w14:textId="77777777" w:rsidR="002F7903" w:rsidRDefault="002F7903" w:rsidP="002F7903">
      <w:pPr>
        <w:pStyle w:val="BodyText1"/>
        <w:spacing w:line="360" w:lineRule="auto"/>
        <w:jc w:val="both"/>
      </w:pPr>
      <w:r>
        <w:t>Service performance will be monitored and reviewed regularly through progress meetings and MI reporting.</w:t>
      </w:r>
    </w:p>
    <w:p w14:paraId="6C99FD08" w14:textId="77777777" w:rsidR="002F7903" w:rsidRDefault="002F7903" w:rsidP="002F7903">
      <w:pPr>
        <w:pStyle w:val="BodyText1"/>
        <w:spacing w:line="360" w:lineRule="auto"/>
        <w:jc w:val="both"/>
      </w:pPr>
      <w:r>
        <w:t>1. General Principles</w:t>
      </w:r>
    </w:p>
    <w:p w14:paraId="6A8D0FF8" w14:textId="77777777" w:rsidR="002F7903" w:rsidRDefault="002F7903" w:rsidP="002F7903">
      <w:pPr>
        <w:pStyle w:val="BodyText1"/>
        <w:spacing w:line="360" w:lineRule="auto"/>
        <w:jc w:val="both"/>
      </w:pPr>
      <w:r>
        <w:t>The Supplier must operate a robust service management framework including defined SLAs and performance monitoring.</w:t>
      </w:r>
    </w:p>
    <w:p w14:paraId="68B82870" w14:textId="77777777" w:rsidR="002F7903" w:rsidRDefault="002F7903" w:rsidP="002F7903">
      <w:pPr>
        <w:pStyle w:val="BodyText1"/>
        <w:spacing w:line="360" w:lineRule="auto"/>
        <w:jc w:val="both"/>
      </w:pPr>
      <w:r>
        <w:t>Service performance shall be measured monthly unless otherwise agreed.</w:t>
      </w:r>
    </w:p>
    <w:p w14:paraId="35E0ED4F" w14:textId="77777777" w:rsidR="00790FD9" w:rsidRDefault="002F7903" w:rsidP="002F7903">
      <w:pPr>
        <w:pStyle w:val="BodyText1"/>
        <w:spacing w:line="360" w:lineRule="auto"/>
        <w:jc w:val="both"/>
      </w:pPr>
      <w:r>
        <w:t>The Authority reserves the right to propose revised or additional KPIs during contract mobilisation.</w:t>
      </w:r>
    </w:p>
    <w:p w14:paraId="1E42B5CF" w14:textId="63E3D14A" w:rsidR="002F7903" w:rsidRDefault="002F7903" w:rsidP="002F7903">
      <w:pPr>
        <w:pStyle w:val="BodyText1"/>
        <w:spacing w:line="360" w:lineRule="auto"/>
        <w:jc w:val="both"/>
      </w:pPr>
      <w:r>
        <w:t>3. Service Levels and KPIs by Lot</w:t>
      </w:r>
    </w:p>
    <w:p w14:paraId="00457569" w14:textId="77777777" w:rsidR="002F7903" w:rsidRDefault="002F7903" w:rsidP="002F7903">
      <w:pPr>
        <w:pStyle w:val="BodyText1"/>
        <w:spacing w:line="360" w:lineRule="auto"/>
        <w:jc w:val="both"/>
      </w:pPr>
      <w:r>
        <w:t>Lot 1 – Core Services</w:t>
      </w:r>
    </w:p>
    <w:p w14:paraId="03B5DAE5" w14:textId="77777777" w:rsidR="002F7903" w:rsidRDefault="002F7903" w:rsidP="002F7903">
      <w:pPr>
        <w:pStyle w:val="BodyText1"/>
        <w:spacing w:line="360" w:lineRule="auto"/>
        <w:jc w:val="both"/>
      </w:pPr>
      <w:r>
        <w:t>Applicable to: Custody, Fund Administration, Depository, Transfer Agency, Investment Ops (Current State), Withholding Tax</w:t>
      </w:r>
    </w:p>
    <w:p w14:paraId="4830F6CB" w14:textId="5C37BB3A" w:rsidR="002F7903" w:rsidRDefault="002F7903" w:rsidP="002F7903">
      <w:pPr>
        <w:pStyle w:val="BodyText1"/>
        <w:spacing w:line="360" w:lineRule="auto"/>
        <w:jc w:val="both"/>
      </w:pPr>
      <w:r>
        <w:t>Service Area</w:t>
      </w:r>
      <w:r>
        <w:tab/>
        <w:t>Key Metric</w:t>
      </w:r>
      <w:r>
        <w:tab/>
        <w:t>Minimum Standard</w:t>
      </w:r>
      <w:r>
        <w:tab/>
      </w:r>
      <w:r>
        <w:tab/>
      </w:r>
      <w:r>
        <w:tab/>
      </w:r>
      <w:r>
        <w:tab/>
      </w:r>
      <w:r w:rsidR="0082066C">
        <w:t>KPI</w:t>
      </w:r>
    </w:p>
    <w:p w14:paraId="1978A922" w14:textId="6365F83C" w:rsidR="002F7903" w:rsidRDefault="002F7903" w:rsidP="002F7903">
      <w:pPr>
        <w:pStyle w:val="BodyText1"/>
        <w:spacing w:line="360" w:lineRule="auto"/>
        <w:jc w:val="both"/>
      </w:pPr>
      <w:r>
        <w:t>Trade Settlement</w:t>
      </w:r>
      <w:r>
        <w:tab/>
      </w:r>
      <w:r>
        <w:tab/>
        <w:t>% settled on contractual date</w:t>
      </w:r>
      <w:r>
        <w:tab/>
      </w:r>
      <w:r>
        <w:tab/>
        <w:t>≥ 99%</w:t>
      </w:r>
      <w:r>
        <w:tab/>
        <w:t>&lt; 98%</w:t>
      </w:r>
    </w:p>
    <w:p w14:paraId="44FD3998" w14:textId="7D8D58A7" w:rsidR="002F7903" w:rsidRDefault="002F7903" w:rsidP="002F7903">
      <w:pPr>
        <w:pStyle w:val="BodyText1"/>
        <w:spacing w:line="360" w:lineRule="auto"/>
        <w:jc w:val="both"/>
      </w:pPr>
      <w:r>
        <w:t>NAV Timeliness</w:t>
      </w:r>
      <w:r>
        <w:tab/>
      </w:r>
      <w:r>
        <w:tab/>
        <w:t>% NAVs delivered on time</w:t>
      </w:r>
      <w:r>
        <w:tab/>
      </w:r>
      <w:r>
        <w:tab/>
      </w:r>
      <w:r>
        <w:tab/>
        <w:t>≥ 98%</w:t>
      </w:r>
      <w:r>
        <w:tab/>
        <w:t>&lt; 95%</w:t>
      </w:r>
    </w:p>
    <w:p w14:paraId="4197578E" w14:textId="2E4BE25E" w:rsidR="002F7903" w:rsidRDefault="002F7903" w:rsidP="002F7903">
      <w:pPr>
        <w:pStyle w:val="BodyText1"/>
        <w:spacing w:line="360" w:lineRule="auto"/>
        <w:jc w:val="both"/>
      </w:pPr>
      <w:r>
        <w:t>Corporate Actions</w:t>
      </w:r>
      <w:r>
        <w:tab/>
      </w:r>
      <w:r>
        <w:tab/>
        <w:t>% instructions processed accurately</w:t>
      </w:r>
      <w:r>
        <w:tab/>
        <w:t>≥ 99%</w:t>
      </w:r>
      <w:r>
        <w:tab/>
        <w:t>&lt; 97%</w:t>
      </w:r>
    </w:p>
    <w:p w14:paraId="6606CC88" w14:textId="1DF8080E" w:rsidR="002F7903" w:rsidRDefault="002F7903" w:rsidP="002F7903">
      <w:pPr>
        <w:pStyle w:val="BodyText1"/>
        <w:spacing w:line="360" w:lineRule="auto"/>
        <w:jc w:val="both"/>
      </w:pPr>
      <w:r>
        <w:t>Client Queries</w:t>
      </w:r>
      <w:r>
        <w:tab/>
      </w:r>
      <w:r>
        <w:tab/>
        <w:t>Response within SLA</w:t>
      </w:r>
      <w:r>
        <w:tab/>
      </w:r>
      <w:r>
        <w:tab/>
      </w:r>
      <w:r>
        <w:tab/>
        <w:t>≥ 95%</w:t>
      </w:r>
      <w:r>
        <w:tab/>
        <w:t>&lt; 90%</w:t>
      </w:r>
    </w:p>
    <w:p w14:paraId="2DE17777" w14:textId="5ED076D3" w:rsidR="002F7903" w:rsidRDefault="002F7903" w:rsidP="002F7903">
      <w:pPr>
        <w:pStyle w:val="BodyText1"/>
        <w:spacing w:line="360" w:lineRule="auto"/>
        <w:jc w:val="both"/>
      </w:pPr>
      <w:r>
        <w:lastRenderedPageBreak/>
        <w:t>Data Integrity</w:t>
      </w:r>
      <w:r>
        <w:tab/>
      </w:r>
      <w:r>
        <w:tab/>
      </w:r>
      <w:r>
        <w:tab/>
        <w:t>Reconciliations accuracy</w:t>
      </w:r>
      <w:r>
        <w:tab/>
      </w:r>
      <w:r>
        <w:tab/>
      </w:r>
      <w:r>
        <w:tab/>
        <w:t>≥ 98%</w:t>
      </w:r>
      <w:r>
        <w:tab/>
        <w:t>&lt; 95%</w:t>
      </w:r>
    </w:p>
    <w:p w14:paraId="3DB0E5F3" w14:textId="77777777" w:rsidR="002F7903" w:rsidRDefault="002F7903" w:rsidP="002F7903">
      <w:pPr>
        <w:pStyle w:val="BodyText1"/>
        <w:spacing w:line="360" w:lineRule="auto"/>
        <w:jc w:val="both"/>
      </w:pPr>
    </w:p>
    <w:p w14:paraId="46726D53" w14:textId="77777777" w:rsidR="002F7903" w:rsidRDefault="002F7903" w:rsidP="002F7903">
      <w:pPr>
        <w:pStyle w:val="BodyText1"/>
        <w:spacing w:line="360" w:lineRule="auto"/>
        <w:jc w:val="both"/>
      </w:pPr>
      <w:r>
        <w:t>Lot 2 – Client Reporting Services</w:t>
      </w:r>
    </w:p>
    <w:p w14:paraId="2ED8DF06" w14:textId="77777777" w:rsidR="002F7903" w:rsidRDefault="002F7903" w:rsidP="002F7903">
      <w:pPr>
        <w:pStyle w:val="BodyText1"/>
        <w:spacing w:line="360" w:lineRule="auto"/>
        <w:jc w:val="both"/>
      </w:pPr>
      <w:r>
        <w:t>Applicable to: Investor &amp; Client Reporting, Withholding Tax</w:t>
      </w:r>
    </w:p>
    <w:p w14:paraId="50F0A2CD" w14:textId="77777777" w:rsidR="002F7903" w:rsidRDefault="002F7903" w:rsidP="002F7903">
      <w:pPr>
        <w:pStyle w:val="BodyText1"/>
        <w:spacing w:line="360" w:lineRule="auto"/>
        <w:jc w:val="both"/>
      </w:pPr>
    </w:p>
    <w:p w14:paraId="3AA26019" w14:textId="51716AFA" w:rsidR="002F7903" w:rsidRDefault="002F7903" w:rsidP="002F7903">
      <w:pPr>
        <w:pStyle w:val="BodyText1"/>
        <w:spacing w:line="360" w:lineRule="auto"/>
        <w:jc w:val="both"/>
      </w:pPr>
      <w:r>
        <w:t>Service Area</w:t>
      </w:r>
      <w:r>
        <w:tab/>
        <w:t>Key Metric</w:t>
      </w:r>
      <w:r>
        <w:tab/>
        <w:t>Minimum Standard</w:t>
      </w:r>
      <w:r>
        <w:tab/>
      </w:r>
      <w:r>
        <w:tab/>
      </w:r>
      <w:r>
        <w:tab/>
      </w:r>
      <w:r>
        <w:tab/>
      </w:r>
      <w:r w:rsidR="0082066C">
        <w:t>KPI</w:t>
      </w:r>
    </w:p>
    <w:p w14:paraId="024D7FD2" w14:textId="5A3F4A51" w:rsidR="002F7903" w:rsidRDefault="002F7903" w:rsidP="002F7903">
      <w:pPr>
        <w:pStyle w:val="BodyText1"/>
        <w:spacing w:line="360" w:lineRule="auto"/>
        <w:jc w:val="both"/>
      </w:pPr>
      <w:r>
        <w:t>Report Timeliness</w:t>
      </w:r>
      <w:r>
        <w:tab/>
      </w:r>
      <w:r>
        <w:tab/>
        <w:t>% reports delivered on time</w:t>
      </w:r>
      <w:r>
        <w:tab/>
      </w:r>
      <w:r w:rsidR="00574619">
        <w:tab/>
      </w:r>
      <w:r>
        <w:t>≥ 98%</w:t>
      </w:r>
      <w:r>
        <w:tab/>
        <w:t>&lt; 95%</w:t>
      </w:r>
    </w:p>
    <w:p w14:paraId="722D3B81" w14:textId="4628455B" w:rsidR="002F7903" w:rsidRDefault="002F7903" w:rsidP="002F7903">
      <w:pPr>
        <w:pStyle w:val="BodyText1"/>
        <w:spacing w:line="360" w:lineRule="auto"/>
        <w:jc w:val="both"/>
      </w:pPr>
      <w:r>
        <w:t>Report Accuracy</w:t>
      </w:r>
      <w:r>
        <w:tab/>
      </w:r>
      <w:r>
        <w:tab/>
        <w:t>% reports delivered without error</w:t>
      </w:r>
      <w:r w:rsidR="00574619">
        <w:tab/>
      </w:r>
      <w:r>
        <w:tab/>
        <w:t>≥ 99%</w:t>
      </w:r>
      <w:r>
        <w:tab/>
        <w:t>&lt; 97%</w:t>
      </w:r>
    </w:p>
    <w:p w14:paraId="4C50C81D" w14:textId="23D57494" w:rsidR="002F7903" w:rsidRDefault="002F7903" w:rsidP="002F7903">
      <w:pPr>
        <w:pStyle w:val="BodyText1"/>
        <w:spacing w:line="360" w:lineRule="auto"/>
        <w:jc w:val="both"/>
      </w:pPr>
      <w:r>
        <w:t>Withholding Tax</w:t>
      </w:r>
      <w:r>
        <w:tab/>
      </w:r>
      <w:r>
        <w:tab/>
        <w:t>% reclaims submitted within SLA</w:t>
      </w:r>
      <w:r w:rsidR="00574619">
        <w:tab/>
      </w:r>
      <w:r>
        <w:tab/>
        <w:t>≥ 95%</w:t>
      </w:r>
      <w:r>
        <w:tab/>
        <w:t>&lt; 90%</w:t>
      </w:r>
    </w:p>
    <w:p w14:paraId="5219E1DE" w14:textId="2447663D" w:rsidR="002F7903" w:rsidRDefault="002F7903" w:rsidP="002F7903">
      <w:pPr>
        <w:pStyle w:val="BodyText1"/>
        <w:spacing w:line="360" w:lineRule="auto"/>
        <w:jc w:val="both"/>
      </w:pPr>
      <w:r>
        <w:t>Portal Availability</w:t>
      </w:r>
      <w:r>
        <w:tab/>
      </w:r>
      <w:r>
        <w:tab/>
        <w:t>% system uptime (if applicable)</w:t>
      </w:r>
      <w:r>
        <w:tab/>
      </w:r>
      <w:r w:rsidR="00574619">
        <w:tab/>
      </w:r>
      <w:r>
        <w:t>≥ 99.5%&lt; 98.5%</w:t>
      </w:r>
    </w:p>
    <w:p w14:paraId="45FAD99D" w14:textId="77777777" w:rsidR="002F7903" w:rsidRDefault="002F7903" w:rsidP="002F7903">
      <w:pPr>
        <w:pStyle w:val="BodyText1"/>
        <w:spacing w:line="360" w:lineRule="auto"/>
        <w:jc w:val="both"/>
      </w:pPr>
    </w:p>
    <w:p w14:paraId="437B3F51" w14:textId="77777777" w:rsidR="002F7903" w:rsidRDefault="002F7903" w:rsidP="002F7903">
      <w:pPr>
        <w:pStyle w:val="BodyText1"/>
        <w:spacing w:line="360" w:lineRule="auto"/>
        <w:jc w:val="both"/>
      </w:pPr>
      <w:r>
        <w:t>Lot 3 – Ancillary Services</w:t>
      </w:r>
    </w:p>
    <w:p w14:paraId="6A38D3C0" w14:textId="77777777" w:rsidR="002F7903" w:rsidRDefault="002F7903" w:rsidP="002F7903">
      <w:pPr>
        <w:pStyle w:val="BodyText1"/>
        <w:spacing w:line="360" w:lineRule="auto"/>
        <w:jc w:val="both"/>
      </w:pPr>
      <w:r>
        <w:t>Applicable to: Performance Measurement &amp; Attribution, Fund Compliance</w:t>
      </w:r>
    </w:p>
    <w:p w14:paraId="70DBC285" w14:textId="1099E1C5" w:rsidR="002F7903" w:rsidRDefault="002F7903" w:rsidP="002F7903">
      <w:pPr>
        <w:pStyle w:val="BodyText1"/>
        <w:spacing w:line="360" w:lineRule="auto"/>
        <w:jc w:val="both"/>
      </w:pPr>
      <w:r>
        <w:t>Service Area</w:t>
      </w:r>
      <w:r>
        <w:tab/>
        <w:t>Key Metric</w:t>
      </w:r>
      <w:r>
        <w:tab/>
        <w:t>Minimum Standard</w:t>
      </w:r>
      <w:r>
        <w:tab/>
      </w:r>
      <w:r>
        <w:tab/>
      </w:r>
      <w:r>
        <w:tab/>
      </w:r>
      <w:r>
        <w:tab/>
      </w:r>
      <w:r w:rsidR="0082066C">
        <w:t>KPI</w:t>
      </w:r>
    </w:p>
    <w:p w14:paraId="39C26B11" w14:textId="75772227" w:rsidR="002F7903" w:rsidRDefault="002F7903" w:rsidP="002F7903">
      <w:pPr>
        <w:pStyle w:val="BodyText1"/>
        <w:spacing w:line="360" w:lineRule="auto"/>
        <w:jc w:val="both"/>
      </w:pPr>
      <w:r>
        <w:t>Performance Reporting</w:t>
      </w:r>
      <w:r>
        <w:tab/>
        <w:t>Timeliness &amp; accuracy of delivery</w:t>
      </w:r>
      <w:r>
        <w:tab/>
      </w:r>
      <w:r w:rsidR="00426431">
        <w:tab/>
      </w:r>
      <w:r>
        <w:t>≥ 98% on time &amp; accurate</w:t>
      </w:r>
      <w:r>
        <w:tab/>
        <w:t>&lt; 95%</w:t>
      </w:r>
    </w:p>
    <w:p w14:paraId="729243AA" w14:textId="63B63EEB" w:rsidR="002F7903" w:rsidRDefault="002F7903" w:rsidP="002F7903">
      <w:pPr>
        <w:pStyle w:val="BodyText1"/>
        <w:spacing w:line="360" w:lineRule="auto"/>
        <w:jc w:val="both"/>
      </w:pPr>
      <w:r>
        <w:t>Breach Notification</w:t>
      </w:r>
      <w:r>
        <w:tab/>
      </w:r>
      <w:r w:rsidR="00426431">
        <w:tab/>
      </w:r>
      <w:r>
        <w:t>Breach reporting within agreed SLA</w:t>
      </w:r>
      <w:r>
        <w:tab/>
        <w:t>≥ 98% within SLA</w:t>
      </w:r>
      <w:r>
        <w:tab/>
        <w:t>&lt; 95%</w:t>
      </w:r>
    </w:p>
    <w:p w14:paraId="703ABE73" w14:textId="77777777" w:rsidR="002F7903" w:rsidRDefault="002F7903" w:rsidP="002F7903">
      <w:pPr>
        <w:pStyle w:val="BodyText1"/>
        <w:spacing w:line="360" w:lineRule="auto"/>
        <w:jc w:val="both"/>
      </w:pPr>
      <w:r>
        <w:t>Compliance Coverage</w:t>
      </w:r>
      <w:r>
        <w:tab/>
        <w:t>% coverage of assets under service</w:t>
      </w:r>
      <w:r>
        <w:tab/>
        <w:t>100%</w:t>
      </w:r>
      <w:r>
        <w:tab/>
        <w:t>&lt; 98%</w:t>
      </w:r>
    </w:p>
    <w:p w14:paraId="18A93EFC" w14:textId="77777777" w:rsidR="002F7903" w:rsidRDefault="002F7903" w:rsidP="002F7903">
      <w:pPr>
        <w:pStyle w:val="BodyText1"/>
        <w:spacing w:line="360" w:lineRule="auto"/>
        <w:jc w:val="both"/>
      </w:pPr>
    </w:p>
    <w:p w14:paraId="4A514163" w14:textId="77777777" w:rsidR="00790FD9" w:rsidRDefault="00790FD9" w:rsidP="002F7903">
      <w:pPr>
        <w:pStyle w:val="BodyText1"/>
        <w:spacing w:line="360" w:lineRule="auto"/>
        <w:jc w:val="both"/>
      </w:pPr>
    </w:p>
    <w:p w14:paraId="6C9C4C22" w14:textId="77777777" w:rsidR="000D6407" w:rsidRDefault="000D6407" w:rsidP="002F7903">
      <w:pPr>
        <w:pStyle w:val="BodyText1"/>
        <w:spacing w:line="360" w:lineRule="auto"/>
        <w:jc w:val="both"/>
      </w:pPr>
    </w:p>
    <w:p w14:paraId="2FE2111B" w14:textId="77777777" w:rsidR="002F7903" w:rsidRDefault="002F7903" w:rsidP="002F7903">
      <w:pPr>
        <w:pStyle w:val="BodyText1"/>
        <w:spacing w:line="360" w:lineRule="auto"/>
        <w:jc w:val="both"/>
      </w:pPr>
      <w:r>
        <w:lastRenderedPageBreak/>
        <w:t>4. Reporting &amp; Governance</w:t>
      </w:r>
    </w:p>
    <w:p w14:paraId="0EB6FE32" w14:textId="08194E47" w:rsidR="002F7903" w:rsidRDefault="002F7903" w:rsidP="002F7903">
      <w:pPr>
        <w:pStyle w:val="BodyText1"/>
        <w:spacing w:line="360" w:lineRule="auto"/>
        <w:jc w:val="both"/>
      </w:pPr>
      <w:r>
        <w:t>The Supplier will provide monthly Progress Reports and attend monthly Progress Meetings</w:t>
      </w:r>
      <w:r w:rsidR="00AA20D9">
        <w:t xml:space="preserve"> in person as required</w:t>
      </w:r>
      <w:r>
        <w:t>.</w:t>
      </w:r>
    </w:p>
    <w:p w14:paraId="1B19D310" w14:textId="77777777" w:rsidR="002F7903" w:rsidRDefault="002F7903" w:rsidP="002F7903">
      <w:pPr>
        <w:pStyle w:val="BodyText1"/>
        <w:spacing w:line="360" w:lineRule="auto"/>
        <w:jc w:val="both"/>
      </w:pPr>
      <w:r>
        <w:t>Reports will include SLA performance, incidents, issue logs, and breach management.</w:t>
      </w:r>
    </w:p>
    <w:p w14:paraId="147EC2DF" w14:textId="7285A67C" w:rsidR="002F7903" w:rsidRDefault="002F7903" w:rsidP="002F7903">
      <w:pPr>
        <w:pStyle w:val="BodyText1"/>
        <w:spacing w:after="0" w:line="360" w:lineRule="auto"/>
        <w:jc w:val="both"/>
      </w:pPr>
      <w:r>
        <w:t>Persistent underperformance may trigger a formal remediation plan and governance escalation.</w:t>
      </w:r>
    </w:p>
    <w:p w14:paraId="7A1FBE82" w14:textId="77777777" w:rsidR="00AC169C" w:rsidRPr="00AC169C" w:rsidRDefault="00AC169C" w:rsidP="0012416B">
      <w:pPr>
        <w:pStyle w:val="BodyText1"/>
        <w:spacing w:after="0" w:line="360" w:lineRule="auto"/>
        <w:jc w:val="both"/>
      </w:pPr>
    </w:p>
    <w:p w14:paraId="56151748" w14:textId="77777777" w:rsidR="002147DD" w:rsidRPr="00170C6F" w:rsidRDefault="002147DD" w:rsidP="002147DD">
      <w:pPr>
        <w:pStyle w:val="BodyText1"/>
      </w:pPr>
    </w:p>
    <w:p w14:paraId="022B0E6F" w14:textId="1844ED45" w:rsidR="00DF644D" w:rsidRPr="002147DD" w:rsidRDefault="00DF644D" w:rsidP="00DF644D">
      <w:pPr>
        <w:pStyle w:val="Heading1"/>
        <w:numPr>
          <w:ilvl w:val="0"/>
          <w:numId w:val="0"/>
        </w:numPr>
      </w:pPr>
      <w:bookmarkStart w:id="26" w:name="_Toc201061311"/>
      <w:r>
        <w:lastRenderedPageBreak/>
        <w:t>Appendix D: The draft contract terms</w:t>
      </w:r>
      <w:bookmarkEnd w:id="26"/>
    </w:p>
    <w:p w14:paraId="477D1696" w14:textId="190D76A9" w:rsidR="002760DD" w:rsidRDefault="00514639" w:rsidP="002760DD">
      <w:r>
        <w:t>The contract(s) will be awarded under the CCS Mid-Tier Contract, incorporating the Core Terms and relevant schedules.</w:t>
      </w:r>
    </w:p>
    <w:p w14:paraId="6301D49C" w14:textId="0B6E3239" w:rsidR="002760DD" w:rsidRPr="002760DD" w:rsidRDefault="002760DD" w:rsidP="003E3D85"/>
    <w:p w14:paraId="3FC33B91" w14:textId="61C67834" w:rsidR="00DF644D" w:rsidRPr="002147DD" w:rsidRDefault="00DF644D" w:rsidP="00DF644D">
      <w:pPr>
        <w:pStyle w:val="Heading1"/>
        <w:numPr>
          <w:ilvl w:val="0"/>
          <w:numId w:val="0"/>
        </w:numPr>
      </w:pPr>
      <w:bookmarkStart w:id="27" w:name="_Toc201061312"/>
      <w:r>
        <w:lastRenderedPageBreak/>
        <w:t>Appendix E: Glossary</w:t>
      </w:r>
      <w:bookmarkEnd w:id="2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rsidTr="1E5B8944">
        <w:trPr>
          <w:tblHeader/>
        </w:trPr>
        <w:tc>
          <w:tcPr>
            <w:tcW w:w="3119" w:type="dxa"/>
            <w:shd w:val="clear" w:color="auto" w:fill="BEDDFF" w:themeFill="accent2" w:themeFillTint="33"/>
          </w:tcPr>
          <w:p w14:paraId="3FD10F5B" w14:textId="77777777" w:rsidR="00AB450C" w:rsidRPr="00845A54" w:rsidRDefault="00AB450C"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hemeFill="accent2" w:themeFillTint="33"/>
          </w:tcPr>
          <w:p w14:paraId="5246DC31" w14:textId="77777777" w:rsidR="00AB450C" w:rsidRPr="00845A54" w:rsidRDefault="00AB450C"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rsidTr="1E5B8944">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7925BC">
            <w:pPr>
              <w:pStyle w:val="BodyText1"/>
              <w:spacing w:after="120"/>
              <w:jc w:val="both"/>
            </w:pPr>
            <w:r>
              <w:t>means t</w:t>
            </w:r>
            <w:r w:rsidRPr="00CC010A">
              <w:t xml:space="preserve">he </w:t>
            </w:r>
            <w:r w:rsidR="00AB450C" w:rsidRPr="00CC010A">
              <w:t>Procurement Act 2023.</w:t>
            </w:r>
          </w:p>
        </w:tc>
      </w:tr>
      <w:tr w:rsidR="00AB450C" w:rsidRPr="0018563A" w14:paraId="1B41E898" w14:textId="77777777" w:rsidTr="1E5B8944">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7427BAC3" w:rsidR="00AB450C" w:rsidRPr="0018563A" w:rsidRDefault="00092A59" w:rsidP="007925BC">
            <w:pPr>
              <w:pStyle w:val="BodyText1"/>
              <w:spacing w:after="0"/>
              <w:jc w:val="both"/>
            </w:pPr>
            <w:r w:rsidRPr="00092A59">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rsidTr="1E5B8944">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5AAD1AEC" w:rsidR="00AB450C" w:rsidRPr="0018563A" w:rsidRDefault="00092A59" w:rsidP="007925BC">
            <w:pPr>
              <w:tabs>
                <w:tab w:val="left" w:pos="2751"/>
              </w:tabs>
              <w:ind w:left="57"/>
              <w:jc w:val="both"/>
            </w:pPr>
            <w:r>
              <w:t xml:space="preserve">means </w:t>
            </w:r>
            <w:r w:rsidR="0079134C">
              <w:t>London LGPS CIV Ltd</w:t>
            </w:r>
          </w:p>
        </w:tc>
      </w:tr>
      <w:tr w:rsidR="00AB450C" w:rsidRPr="0018563A" w14:paraId="6E334BA5" w14:textId="77777777" w:rsidTr="1E5B8944">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7925BC">
            <w:pPr>
              <w:tabs>
                <w:tab w:val="left" w:pos="2751"/>
              </w:tabs>
              <w:ind w:left="57"/>
              <w:jc w:val="both"/>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rsidTr="1E5B8944">
        <w:tc>
          <w:tcPr>
            <w:tcW w:w="3119" w:type="dxa"/>
          </w:tcPr>
          <w:p w14:paraId="40E9F420" w14:textId="77777777" w:rsidR="00AB450C" w:rsidRPr="0018563A" w:rsidRDefault="00AB450C" w:rsidP="00AB450C">
            <w:pPr>
              <w:pStyle w:val="BodyText1"/>
              <w:spacing w:after="0"/>
            </w:pPr>
            <w:r w:rsidRPr="0041156C">
              <w:t>Competitive Flexible Procedure</w:t>
            </w:r>
          </w:p>
        </w:tc>
        <w:tc>
          <w:tcPr>
            <w:tcW w:w="6519" w:type="dxa"/>
          </w:tcPr>
          <w:p w14:paraId="6A473AC7" w14:textId="726EDB1D" w:rsidR="00AB450C" w:rsidRPr="0018563A" w:rsidRDefault="00CB75CC" w:rsidP="007925BC">
            <w:pPr>
              <w:tabs>
                <w:tab w:val="left" w:pos="2751"/>
              </w:tabs>
              <w:ind w:left="57"/>
              <w:jc w:val="both"/>
            </w:pPr>
            <w:r>
              <w:t>means</w:t>
            </w:r>
            <w:r w:rsidR="00092A59">
              <w:t xml:space="preserve"> t</w:t>
            </w:r>
            <w:r w:rsidR="00092A59" w:rsidRPr="00CC010A">
              <w:t xml:space="preserve">he </w:t>
            </w:r>
            <w:r w:rsidR="00AB450C" w:rsidRPr="00CC010A">
              <w:t>competitive flexible procedure as defined by section 20 of the Act.</w:t>
            </w:r>
          </w:p>
        </w:tc>
      </w:tr>
      <w:tr w:rsidR="00AB450C" w:rsidRPr="0018563A" w14:paraId="12514588" w14:textId="77777777" w:rsidTr="1E5B8944">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7925BC">
            <w:pPr>
              <w:tabs>
                <w:tab w:val="left" w:pos="2751"/>
              </w:tabs>
              <w:ind w:left="57"/>
              <w:jc w:val="both"/>
            </w:pPr>
            <w:r>
              <w:t>means t</w:t>
            </w:r>
            <w:r w:rsidRPr="00CC010A">
              <w:t xml:space="preserve">he </w:t>
            </w:r>
            <w:r w:rsidR="00AB450C" w:rsidRPr="00CC010A">
              <w:t>contract to be entered into by the Authority with the successful Supplier.</w:t>
            </w:r>
          </w:p>
        </w:tc>
      </w:tr>
      <w:tr w:rsidR="00AB450C" w:rsidRPr="0018563A" w14:paraId="63F4883D" w14:textId="77777777" w:rsidTr="1E5B8944">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7925BC">
            <w:pPr>
              <w:tabs>
                <w:tab w:val="left" w:pos="2751"/>
              </w:tabs>
              <w:ind w:left="57"/>
              <w:jc w:val="both"/>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rsidTr="1E5B8944">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2DAF2A3E" w:rsidR="00AB450C" w:rsidRPr="0018563A" w:rsidRDefault="00DC7130" w:rsidP="006C2DAD">
            <w:pPr>
              <w:tabs>
                <w:tab w:val="left" w:pos="2751"/>
              </w:tabs>
              <w:spacing w:line="259" w:lineRule="auto"/>
              <w:ind w:left="57"/>
              <w:jc w:val="both"/>
            </w:pPr>
            <w:r>
              <w:t>The Authority</w:t>
            </w:r>
            <w:r w:rsidR="43DFC7D7">
              <w:t xml:space="preserve"> does not currently operate a </w:t>
            </w:r>
            <w:proofErr w:type="gramStart"/>
            <w:r w:rsidR="43DFC7D7">
              <w:t>portal,</w:t>
            </w:r>
            <w:proofErr w:type="gramEnd"/>
            <w:r w:rsidR="43DFC7D7">
              <w:t xml:space="preserve"> all correspondence should be via email to </w:t>
            </w:r>
            <w:hyperlink r:id="rId19" w:history="1">
              <w:r w:rsidRPr="0050161E">
                <w:rPr>
                  <w:rStyle w:val="Hyperlink"/>
                </w:rPr>
                <w:t>procurement@londonciv.org.uk</w:t>
              </w:r>
            </w:hyperlink>
            <w:r>
              <w:t xml:space="preserve">. </w:t>
            </w:r>
          </w:p>
        </w:tc>
      </w:tr>
      <w:tr w:rsidR="00AB450C" w:rsidRPr="0018563A" w14:paraId="295BE2A8" w14:textId="77777777" w:rsidTr="1E5B8944">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7925BC">
            <w:pPr>
              <w:tabs>
                <w:tab w:val="left" w:pos="2751"/>
              </w:tabs>
              <w:ind w:left="57"/>
              <w:jc w:val="both"/>
            </w:pPr>
            <w:r w:rsidRPr="00CC010A">
              <w:t>This Competitive Flexible Procedure procurement process.</w:t>
            </w:r>
          </w:p>
        </w:tc>
      </w:tr>
      <w:tr w:rsidR="00AB450C" w:rsidRPr="0018563A" w14:paraId="3A3C67BD" w14:textId="77777777" w:rsidTr="1E5B8944">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7925BC">
            <w:pPr>
              <w:tabs>
                <w:tab w:val="left" w:pos="2751"/>
              </w:tabs>
              <w:ind w:left="57"/>
              <w:jc w:val="both"/>
            </w:pPr>
            <w:r w:rsidRPr="00CC010A">
              <w:t>The timetable for this Procurement as set out in this document.</w:t>
            </w:r>
          </w:p>
        </w:tc>
      </w:tr>
      <w:tr w:rsidR="00AB450C" w:rsidRPr="0018563A" w14:paraId="16E17F3C" w14:textId="77777777" w:rsidTr="1E5B8944">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7925BC">
            <w:pPr>
              <w:tabs>
                <w:tab w:val="left" w:pos="2751"/>
              </w:tabs>
              <w:ind w:left="57"/>
              <w:jc w:val="both"/>
            </w:pPr>
            <w:r>
              <w:t>m</w:t>
            </w:r>
            <w:r w:rsidR="00092A59">
              <w:t>eans t</w:t>
            </w:r>
            <w:r w:rsidR="00AB450C" w:rsidRPr="00CC010A">
              <w:t>he service credits set out in Appendix C.</w:t>
            </w:r>
          </w:p>
        </w:tc>
      </w:tr>
      <w:tr w:rsidR="00AB450C" w:rsidRPr="0018563A" w14:paraId="5C630B15" w14:textId="77777777" w:rsidTr="1E5B8944">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7925BC">
            <w:pPr>
              <w:tabs>
                <w:tab w:val="left" w:pos="2751"/>
              </w:tabs>
              <w:ind w:left="57"/>
              <w:jc w:val="both"/>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rsidTr="1E5B8944">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7925BC">
            <w:pPr>
              <w:tabs>
                <w:tab w:val="left" w:pos="2751"/>
              </w:tabs>
              <w:ind w:left="57"/>
              <w:jc w:val="both"/>
            </w:pPr>
            <w:r w:rsidRPr="00092A59">
              <w:t>means a supplier or suppliers (as the case may be) participating in the Procurement</w:t>
            </w:r>
          </w:p>
        </w:tc>
      </w:tr>
      <w:tr w:rsidR="00AB450C" w:rsidRPr="0018563A" w14:paraId="12B31E07" w14:textId="77777777" w:rsidTr="1E5B8944">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7925BC">
            <w:pPr>
              <w:pStyle w:val="BodyText1"/>
              <w:spacing w:after="0"/>
              <w:jc w:val="both"/>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461E6D75" w14:textId="1C8F7B17" w:rsidR="00DF644D" w:rsidRPr="002147DD" w:rsidRDefault="00DF644D" w:rsidP="00DF644D">
      <w:pPr>
        <w:pStyle w:val="Heading1"/>
        <w:numPr>
          <w:ilvl w:val="0"/>
          <w:numId w:val="0"/>
        </w:numPr>
      </w:pPr>
      <w:bookmarkStart w:id="28" w:name="_Toc201061313"/>
      <w:r>
        <w:lastRenderedPageBreak/>
        <w:t>Appendix F: Form of tender</w:t>
      </w:r>
      <w:bookmarkEnd w:id="28"/>
    </w:p>
    <w:p w14:paraId="1859EB9C" w14:textId="77777777" w:rsidR="00AB450C" w:rsidRDefault="00AB450C" w:rsidP="008150E4">
      <w:pPr>
        <w:pStyle w:val="BodyText1"/>
        <w:jc w:val="both"/>
      </w:pPr>
      <w:r>
        <w:t>Dear Sir or Madam</w:t>
      </w:r>
    </w:p>
    <w:p w14:paraId="4CB08BCC" w14:textId="77777777" w:rsidR="00AB450C" w:rsidRDefault="00AB450C" w:rsidP="008150E4">
      <w:pPr>
        <w:pStyle w:val="Heading2-NotToC"/>
        <w:jc w:val="both"/>
      </w:pPr>
      <w:r>
        <w:t xml:space="preserve">Form of tender </w:t>
      </w:r>
    </w:p>
    <w:p w14:paraId="2BEFFFEE" w14:textId="0BB4B941" w:rsidR="00AB450C" w:rsidRDefault="00AB450C" w:rsidP="008150E4">
      <w:pPr>
        <w:pStyle w:val="BodyText1"/>
        <w:jc w:val="both"/>
      </w:pPr>
      <w:r>
        <w:t xml:space="preserve">I/We, the undersigned, tender and offer to provide the </w:t>
      </w:r>
      <w:r w:rsidR="006461CC">
        <w:t>C</w:t>
      </w:r>
      <w:r>
        <w:t xml:space="preserve">ontract as listed below, which is more particularly referred to in the [invitation to submit final tenders] supplied to me/us for the purpose of tendering for the provision of the </w:t>
      </w:r>
      <w:r w:rsidR="006461CC">
        <w:t>C</w:t>
      </w:r>
      <w:r>
        <w:t xml:space="preserve">ontract and on the terms of the </w:t>
      </w:r>
      <w:r w:rsidR="006461CC">
        <w:t>draft C</w:t>
      </w:r>
      <w:r>
        <w:t>ontract.</w:t>
      </w:r>
    </w:p>
    <w:p w14:paraId="313A19BD" w14:textId="77777777" w:rsidR="00AB450C" w:rsidRDefault="00AB450C" w:rsidP="008150E4">
      <w:pPr>
        <w:pStyle w:val="BodyText1"/>
        <w:jc w:val="both"/>
      </w:pPr>
      <w:r>
        <w:t>Included within this document are the following:</w:t>
      </w:r>
    </w:p>
    <w:p w14:paraId="1CFA3E0E" w14:textId="77777777" w:rsidR="00DF644D" w:rsidRDefault="00AB450C" w:rsidP="008150E4">
      <w:pPr>
        <w:pStyle w:val="Heading2-NotToC"/>
        <w:jc w:val="both"/>
      </w:pPr>
      <w:r>
        <w:t>Checklist for tenderers</w:t>
      </w:r>
    </w:p>
    <w:p w14:paraId="472B631F" w14:textId="77777777" w:rsidR="001D5839" w:rsidRDefault="001D5839" w:rsidP="008150E4">
      <w:pPr>
        <w:pStyle w:val="BodyText1"/>
        <w:jc w:val="both"/>
      </w:pPr>
      <w: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D5839" w:rsidRPr="00845A54" w14:paraId="7BC492CE" w14:textId="77777777" w:rsidTr="001D5839">
        <w:trPr>
          <w:tblHeader/>
        </w:trPr>
        <w:tc>
          <w:tcPr>
            <w:tcW w:w="1651" w:type="dxa"/>
            <w:shd w:val="clear" w:color="auto" w:fill="BEDDFF"/>
            <w:vAlign w:val="bottom"/>
          </w:tcPr>
          <w:p w14:paraId="66867367" w14:textId="77777777" w:rsidR="001D5839" w:rsidRPr="00845A54"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Document number</w:t>
            </w:r>
          </w:p>
        </w:tc>
        <w:tc>
          <w:tcPr>
            <w:tcW w:w="6713" w:type="dxa"/>
            <w:gridSpan w:val="2"/>
            <w:shd w:val="clear" w:color="auto" w:fill="BEDDFF"/>
            <w:vAlign w:val="bottom"/>
          </w:tcPr>
          <w:p w14:paraId="4F0619C6" w14:textId="77777777" w:rsidR="001D5839" w:rsidRPr="00845A54"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Document name</w:t>
            </w:r>
          </w:p>
        </w:tc>
        <w:tc>
          <w:tcPr>
            <w:tcW w:w="1274" w:type="dxa"/>
            <w:shd w:val="clear" w:color="auto" w:fill="BEDDFF"/>
            <w:vAlign w:val="bottom"/>
          </w:tcPr>
          <w:p w14:paraId="3817953A" w14:textId="77777777" w:rsidR="001D5839"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Included (Y/N)</w:t>
            </w:r>
          </w:p>
        </w:tc>
      </w:tr>
      <w:tr w:rsidR="001D5839" w:rsidRPr="0018563A" w14:paraId="587BFC32" w14:textId="77777777" w:rsidTr="001D5839">
        <w:tc>
          <w:tcPr>
            <w:tcW w:w="1651" w:type="dxa"/>
          </w:tcPr>
          <w:p w14:paraId="3F40E6A4" w14:textId="77777777" w:rsidR="001D5839" w:rsidRPr="0018563A" w:rsidRDefault="001D5839" w:rsidP="008150E4">
            <w:pPr>
              <w:pStyle w:val="BodyText1"/>
              <w:spacing w:after="0"/>
              <w:jc w:val="both"/>
            </w:pPr>
          </w:p>
        </w:tc>
        <w:tc>
          <w:tcPr>
            <w:tcW w:w="6429" w:type="dxa"/>
          </w:tcPr>
          <w:p w14:paraId="37DCFA85" w14:textId="77777777" w:rsidR="001D5839" w:rsidRPr="0018563A" w:rsidRDefault="001D5839" w:rsidP="008150E4">
            <w:pPr>
              <w:pStyle w:val="BodyText1"/>
              <w:spacing w:after="0"/>
              <w:jc w:val="both"/>
            </w:pPr>
            <w:r w:rsidRPr="00F478C7">
              <w:t>Appendix G: Certificate of non-collusion and non-canvassing</w:t>
            </w:r>
          </w:p>
        </w:tc>
        <w:tc>
          <w:tcPr>
            <w:tcW w:w="1558" w:type="dxa"/>
            <w:gridSpan w:val="2"/>
          </w:tcPr>
          <w:p w14:paraId="33838B19" w14:textId="77777777" w:rsidR="001D5839" w:rsidRPr="00CC010A" w:rsidRDefault="001D5839" w:rsidP="008150E4">
            <w:pPr>
              <w:pStyle w:val="BodyText1"/>
              <w:spacing w:after="0"/>
              <w:jc w:val="both"/>
            </w:pPr>
          </w:p>
        </w:tc>
      </w:tr>
      <w:tr w:rsidR="001D5839" w:rsidRPr="0018563A" w14:paraId="4A4C83D8" w14:textId="77777777" w:rsidTr="001D5839">
        <w:tc>
          <w:tcPr>
            <w:tcW w:w="1651" w:type="dxa"/>
          </w:tcPr>
          <w:p w14:paraId="2786FA42" w14:textId="77777777" w:rsidR="001D5839" w:rsidRPr="0018563A" w:rsidRDefault="001D5839" w:rsidP="008150E4">
            <w:pPr>
              <w:pStyle w:val="BodyText1"/>
              <w:spacing w:after="0"/>
              <w:jc w:val="both"/>
            </w:pPr>
          </w:p>
        </w:tc>
        <w:tc>
          <w:tcPr>
            <w:tcW w:w="6429" w:type="dxa"/>
          </w:tcPr>
          <w:p w14:paraId="003B85A1" w14:textId="77777777" w:rsidR="001D5839" w:rsidRPr="0018563A" w:rsidRDefault="001D5839" w:rsidP="008150E4">
            <w:pPr>
              <w:pStyle w:val="BodyText1"/>
              <w:spacing w:after="0"/>
              <w:jc w:val="both"/>
            </w:pPr>
            <w:r w:rsidRPr="00F478C7">
              <w:t>Appendix F: Form of tender</w:t>
            </w:r>
          </w:p>
        </w:tc>
        <w:tc>
          <w:tcPr>
            <w:tcW w:w="1558" w:type="dxa"/>
            <w:gridSpan w:val="2"/>
          </w:tcPr>
          <w:p w14:paraId="06822831" w14:textId="77777777" w:rsidR="001D5839" w:rsidRPr="00CC010A" w:rsidRDefault="001D5839" w:rsidP="008150E4">
            <w:pPr>
              <w:pStyle w:val="BodyText1"/>
              <w:spacing w:after="0"/>
              <w:jc w:val="both"/>
            </w:pPr>
          </w:p>
        </w:tc>
      </w:tr>
      <w:tr w:rsidR="001D5839" w:rsidRPr="0018563A" w14:paraId="67E974DE" w14:textId="77777777" w:rsidTr="001D5839">
        <w:tc>
          <w:tcPr>
            <w:tcW w:w="1651" w:type="dxa"/>
          </w:tcPr>
          <w:p w14:paraId="746AC57A" w14:textId="77777777" w:rsidR="001D5839" w:rsidRPr="0018563A" w:rsidRDefault="001D5839" w:rsidP="008150E4">
            <w:pPr>
              <w:pStyle w:val="BodyText1"/>
              <w:spacing w:after="0"/>
              <w:jc w:val="both"/>
            </w:pPr>
          </w:p>
        </w:tc>
        <w:tc>
          <w:tcPr>
            <w:tcW w:w="6429" w:type="dxa"/>
          </w:tcPr>
          <w:p w14:paraId="3F26C25F" w14:textId="77777777" w:rsidR="001D5839" w:rsidRPr="0018563A" w:rsidRDefault="001D5839" w:rsidP="008150E4">
            <w:pPr>
              <w:tabs>
                <w:tab w:val="left" w:pos="2751"/>
              </w:tabs>
              <w:ind w:left="57"/>
              <w:jc w:val="both"/>
            </w:pPr>
            <w:r w:rsidRPr="00F478C7">
              <w:t>Appendix H: Commercially sensitive information</w:t>
            </w:r>
          </w:p>
        </w:tc>
        <w:tc>
          <w:tcPr>
            <w:tcW w:w="1558" w:type="dxa"/>
            <w:gridSpan w:val="2"/>
          </w:tcPr>
          <w:p w14:paraId="4CFB8350" w14:textId="77777777" w:rsidR="001D5839" w:rsidRPr="00CC010A" w:rsidRDefault="001D5839" w:rsidP="008150E4">
            <w:pPr>
              <w:tabs>
                <w:tab w:val="left" w:pos="2751"/>
              </w:tabs>
              <w:ind w:left="57"/>
              <w:jc w:val="both"/>
            </w:pPr>
          </w:p>
        </w:tc>
      </w:tr>
      <w:tr w:rsidR="001D5839" w:rsidRPr="0018563A" w14:paraId="21ED4D9C" w14:textId="77777777" w:rsidTr="001D5839">
        <w:tc>
          <w:tcPr>
            <w:tcW w:w="1651" w:type="dxa"/>
          </w:tcPr>
          <w:p w14:paraId="02355C91" w14:textId="77777777" w:rsidR="001D5839" w:rsidRPr="0018563A" w:rsidRDefault="001D5839" w:rsidP="008150E4">
            <w:pPr>
              <w:pStyle w:val="BodyText1"/>
              <w:spacing w:after="0"/>
              <w:jc w:val="both"/>
            </w:pPr>
          </w:p>
        </w:tc>
        <w:tc>
          <w:tcPr>
            <w:tcW w:w="6429" w:type="dxa"/>
          </w:tcPr>
          <w:p w14:paraId="542CDA13" w14:textId="77777777" w:rsidR="001D5839" w:rsidRPr="0018563A" w:rsidRDefault="001D5839" w:rsidP="008150E4">
            <w:pPr>
              <w:tabs>
                <w:tab w:val="left" w:pos="2751"/>
              </w:tabs>
              <w:ind w:left="57"/>
              <w:jc w:val="both"/>
            </w:pPr>
          </w:p>
        </w:tc>
        <w:tc>
          <w:tcPr>
            <w:tcW w:w="1558" w:type="dxa"/>
            <w:gridSpan w:val="2"/>
          </w:tcPr>
          <w:p w14:paraId="57B6FBF8" w14:textId="77777777" w:rsidR="001D5839" w:rsidRPr="00CC010A" w:rsidRDefault="001D5839" w:rsidP="008150E4">
            <w:pPr>
              <w:tabs>
                <w:tab w:val="left" w:pos="2751"/>
              </w:tabs>
              <w:ind w:left="57"/>
              <w:jc w:val="both"/>
            </w:pPr>
          </w:p>
        </w:tc>
      </w:tr>
      <w:tr w:rsidR="001D5839" w:rsidRPr="0018563A" w14:paraId="37848C2F" w14:textId="77777777" w:rsidTr="001D5839">
        <w:tc>
          <w:tcPr>
            <w:tcW w:w="1651" w:type="dxa"/>
          </w:tcPr>
          <w:p w14:paraId="27C71E75" w14:textId="77777777" w:rsidR="001D5839" w:rsidRPr="0018563A" w:rsidRDefault="001D5839" w:rsidP="008150E4">
            <w:pPr>
              <w:pStyle w:val="BodyText1"/>
              <w:spacing w:after="0"/>
              <w:jc w:val="both"/>
            </w:pPr>
          </w:p>
        </w:tc>
        <w:tc>
          <w:tcPr>
            <w:tcW w:w="6429" w:type="dxa"/>
          </w:tcPr>
          <w:p w14:paraId="1CE83E9B" w14:textId="77777777" w:rsidR="001D5839" w:rsidRPr="0018563A" w:rsidRDefault="001D5839" w:rsidP="008150E4">
            <w:pPr>
              <w:tabs>
                <w:tab w:val="left" w:pos="2751"/>
              </w:tabs>
              <w:ind w:left="57"/>
              <w:jc w:val="both"/>
            </w:pPr>
          </w:p>
        </w:tc>
        <w:tc>
          <w:tcPr>
            <w:tcW w:w="1558" w:type="dxa"/>
            <w:gridSpan w:val="2"/>
          </w:tcPr>
          <w:p w14:paraId="14B67A75" w14:textId="77777777" w:rsidR="001D5839" w:rsidRPr="00CC010A" w:rsidRDefault="001D5839" w:rsidP="008150E4">
            <w:pPr>
              <w:tabs>
                <w:tab w:val="left" w:pos="2751"/>
              </w:tabs>
              <w:ind w:left="57"/>
              <w:jc w:val="both"/>
            </w:pPr>
          </w:p>
        </w:tc>
      </w:tr>
    </w:tbl>
    <w:p w14:paraId="7302AAF5" w14:textId="77777777" w:rsidR="00AB450C" w:rsidRDefault="00AB450C" w:rsidP="008150E4">
      <w:pPr>
        <w:pStyle w:val="BodyText1"/>
        <w:jc w:val="both"/>
      </w:pPr>
    </w:p>
    <w:p w14:paraId="48656892" w14:textId="77777777" w:rsidR="00AB450C" w:rsidRDefault="00AB450C" w:rsidP="008150E4">
      <w:pPr>
        <w:pStyle w:val="BodyText1"/>
        <w:jc w:val="both"/>
      </w:pPr>
      <w:r w:rsidRPr="00AB450C">
        <w:rPr>
          <w:b/>
          <w:bCs/>
        </w:rPr>
        <w:t>Note:</w:t>
      </w:r>
      <w:r>
        <w:t xml:space="preserve"> If Suppliers do not provide all of the items in the checklist, this may result in the response being treated as non-compliant and therefore rejected.</w:t>
      </w:r>
    </w:p>
    <w:p w14:paraId="756994B5" w14:textId="77777777" w:rsidR="00AB450C" w:rsidRDefault="00AB450C" w:rsidP="008150E4">
      <w:pPr>
        <w:pStyle w:val="BodyText1"/>
        <w:jc w:val="both"/>
      </w:pPr>
      <w:r>
        <w:t>[I/We confirm that I/we can supply the contract as specified in our response to the [invitation to submit final tenders] and in accordance with the financial model response submitted.]</w:t>
      </w:r>
    </w:p>
    <w:p w14:paraId="6E7AE4A1" w14:textId="2F3397B4" w:rsidR="00AB450C" w:rsidRDefault="00AB450C" w:rsidP="008150E4">
      <w:pPr>
        <w:pStyle w:val="BodyText1"/>
        <w:jc w:val="both"/>
      </w:pPr>
      <w:r>
        <w:t xml:space="preserve">[I/We confirm that we accept the </w:t>
      </w:r>
      <w:r w:rsidR="00092A59">
        <w:t xml:space="preserve">terms of the draft </w:t>
      </w:r>
      <w:r w:rsidR="006461CC">
        <w:t>C</w:t>
      </w:r>
      <w:r>
        <w:t>ontract as issued with the Invitation to submit final tenders.]</w:t>
      </w:r>
    </w:p>
    <w:p w14:paraId="7BA1DE82" w14:textId="77777777" w:rsidR="00AB450C" w:rsidRDefault="00AB450C" w:rsidP="008150E4">
      <w:pPr>
        <w:pStyle w:val="BodyText1"/>
        <w:jc w:val="both"/>
      </w:pPr>
      <w:r>
        <w:t>I/We understand that the Authority reserves the right to accept or refuse this [final tender] in accordance with the Procurement Act 2023 and/or the [invitation to submit final tenders].</w:t>
      </w:r>
    </w:p>
    <w:p w14:paraId="0BE22255" w14:textId="77777777" w:rsidR="00AB450C" w:rsidRDefault="00AB450C" w:rsidP="008150E4">
      <w:pPr>
        <w:pStyle w:val="BodyText1"/>
        <w:jc w:val="both"/>
      </w:pPr>
      <w:r>
        <w:t>I/We confirm that all information supplied to the Authority and forming part of this [final tender] and any previous submissions is true and accurate.</w:t>
      </w:r>
    </w:p>
    <w:p w14:paraId="7D4BC927" w14:textId="77777777" w:rsidR="00AB450C" w:rsidRDefault="00AB450C" w:rsidP="008150E4">
      <w:pPr>
        <w:pStyle w:val="BodyText1"/>
        <w:keepNext/>
        <w:keepLines/>
        <w:jc w:val="both"/>
      </w:pPr>
      <w:r>
        <w:t>I/We confirm that the Supplier, together with all Associated Suppliers:</w:t>
      </w:r>
    </w:p>
    <w:p w14:paraId="5F70D8CC" w14:textId="77777777" w:rsidR="00AB450C" w:rsidRDefault="00AB450C" w:rsidP="008150E4">
      <w:pPr>
        <w:pStyle w:val="BodyText1"/>
        <w:ind w:left="680" w:hanging="340"/>
        <w:jc w:val="both"/>
      </w:pPr>
      <w:r>
        <w:t>•</w:t>
      </w:r>
      <w:r>
        <w:tab/>
        <w:t>are registered on the Central Digital Platform</w:t>
      </w:r>
    </w:p>
    <w:p w14:paraId="0739FF14" w14:textId="77777777" w:rsidR="00AB450C" w:rsidRDefault="00AB450C" w:rsidP="008150E4">
      <w:pPr>
        <w:pStyle w:val="BodyText1"/>
        <w:ind w:left="680" w:hanging="340"/>
        <w:jc w:val="both"/>
      </w:pPr>
      <w:r>
        <w:lastRenderedPageBreak/>
        <w:t>•</w:t>
      </w:r>
      <w:r>
        <w:tab/>
        <w:t>have ensured their information contained on the Central Digital Platform is true and accurate</w:t>
      </w:r>
      <w:r w:rsidR="003F6CC0">
        <w:t xml:space="preserve"> </w:t>
      </w:r>
    </w:p>
    <w:p w14:paraId="56FB4422" w14:textId="77777777" w:rsidR="00AB450C" w:rsidRDefault="00AB450C" w:rsidP="008150E4">
      <w:pPr>
        <w:pStyle w:val="BodyText1"/>
        <w:jc w:val="both"/>
      </w:pPr>
      <w:r>
        <w:t xml:space="preserve">I/We confirm and undertake that if any of such information becomes untrue or misleading that I/we shall notify the Authority immediately and update such information should this be required. </w:t>
      </w:r>
    </w:p>
    <w:p w14:paraId="478A7739" w14:textId="1BCA6DBE" w:rsidR="00092A59" w:rsidRDefault="00AB450C" w:rsidP="008150E4">
      <w:pPr>
        <w:pStyle w:val="BodyText1"/>
        <w:jc w:val="both"/>
      </w:pPr>
      <w:r>
        <w:t xml:space="preserve">I/We confirm that this [final tender] will remain valid for </w:t>
      </w:r>
      <w:r w:rsidR="27DAA00D">
        <w:t>120 days</w:t>
      </w:r>
      <w:r>
        <w:t xml:space="preserve"> from the date of this form of tender</w:t>
      </w:r>
      <w:r w:rsidR="00092A59">
        <w:t xml:space="preserve"> or until any procurement challenge/s have been resolved. </w:t>
      </w:r>
    </w:p>
    <w:p w14:paraId="2396F0C0" w14:textId="5CF3ABD3" w:rsidR="00AB450C" w:rsidRDefault="00AB450C" w:rsidP="008150E4">
      <w:pPr>
        <w:pStyle w:val="BodyText1"/>
        <w:jc w:val="both"/>
        <w:rPr>
          <w:highlight w:val="yellow"/>
        </w:rPr>
      </w:pPr>
      <w:r>
        <w:t xml:space="preserve">I/We confirm that I/we are authorised to commit the Supplier to the contractual obligations contained in the [invitation to submit final tenders] and the </w:t>
      </w:r>
      <w:r w:rsidR="006461CC">
        <w:t>draft C</w:t>
      </w:r>
      <w:r>
        <w:t>ontract.</w:t>
      </w:r>
    </w:p>
    <w:p w14:paraId="709EB8A9" w14:textId="77777777" w:rsidR="00AB450C" w:rsidRDefault="00AB450C" w:rsidP="008150E4">
      <w:pPr>
        <w:pStyle w:val="BodyText1"/>
        <w:jc w:val="both"/>
      </w:pPr>
      <w:r>
        <w:t>I/We understand that non-compliance with the requirements of the [invitation to submit final tenders] or with any other instructions given by the Authority may lead to me/us being excluded by the Authority from (further) participation in the Procurement.</w:t>
      </w:r>
    </w:p>
    <w:p w14:paraId="141F189B" w14:textId="77777777" w:rsidR="00AB450C" w:rsidRDefault="00AB450C" w:rsidP="008150E4">
      <w:pPr>
        <w:pStyle w:val="BodyText1"/>
        <w:jc w:val="both"/>
      </w:pPr>
      <w: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615259BE" w14:textId="77777777" w:rsidTr="009E4F50">
        <w:trPr>
          <w:cantSplit/>
        </w:trPr>
        <w:tc>
          <w:tcPr>
            <w:tcW w:w="2410" w:type="dxa"/>
            <w:tcBorders>
              <w:right w:val="single" w:sz="4" w:space="0" w:color="auto"/>
            </w:tcBorders>
            <w:shd w:val="clear" w:color="auto" w:fill="auto"/>
            <w:tcMar>
              <w:left w:w="0" w:type="dxa"/>
            </w:tcMar>
          </w:tcPr>
          <w:p w14:paraId="76EC51A7" w14:textId="77777777" w:rsidR="003B534A" w:rsidRPr="008F2D44" w:rsidRDefault="003B534A" w:rsidP="008150E4">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056721" w14:textId="77777777" w:rsidR="003B534A" w:rsidRDefault="003B534A" w:rsidP="008150E4">
            <w:pPr>
              <w:jc w:val="both"/>
              <w:rPr>
                <w:color w:val="000000"/>
              </w:rPr>
            </w:pPr>
          </w:p>
        </w:tc>
      </w:tr>
    </w:tbl>
    <w:p w14:paraId="2F49B86C"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5DCA67BA" w14:textId="77777777" w:rsidTr="009E4F50">
        <w:trPr>
          <w:cantSplit/>
        </w:trPr>
        <w:tc>
          <w:tcPr>
            <w:tcW w:w="2410" w:type="dxa"/>
            <w:tcBorders>
              <w:right w:val="single" w:sz="4" w:space="0" w:color="auto"/>
            </w:tcBorders>
            <w:shd w:val="clear" w:color="auto" w:fill="auto"/>
            <w:tcMar>
              <w:left w:w="0" w:type="dxa"/>
            </w:tcMar>
          </w:tcPr>
          <w:p w14:paraId="3A34DE60" w14:textId="77777777" w:rsidR="003B534A" w:rsidRPr="008F2D44" w:rsidRDefault="003B534A" w:rsidP="008150E4">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943EC3C" w14:textId="77777777" w:rsidR="003B534A" w:rsidRDefault="003B534A" w:rsidP="008150E4">
            <w:pPr>
              <w:jc w:val="both"/>
              <w:rPr>
                <w:color w:val="000000"/>
              </w:rPr>
            </w:pPr>
          </w:p>
        </w:tc>
      </w:tr>
    </w:tbl>
    <w:p w14:paraId="38FA31AC"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15D06D8B" w14:textId="77777777" w:rsidTr="009E4F50">
        <w:trPr>
          <w:cantSplit/>
          <w:trHeight w:val="23"/>
        </w:trPr>
        <w:tc>
          <w:tcPr>
            <w:tcW w:w="2410" w:type="dxa"/>
            <w:tcBorders>
              <w:right w:val="single" w:sz="4" w:space="0" w:color="auto"/>
            </w:tcBorders>
            <w:shd w:val="clear" w:color="auto" w:fill="auto"/>
            <w:tcMar>
              <w:left w:w="0" w:type="dxa"/>
            </w:tcMar>
          </w:tcPr>
          <w:p w14:paraId="71506AEC" w14:textId="77777777" w:rsidR="003B534A" w:rsidRPr="008F2D44" w:rsidRDefault="003B534A" w:rsidP="008150E4">
            <w:pPr>
              <w:jc w:val="both"/>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522DEF7" w14:textId="77777777" w:rsidR="003B534A" w:rsidRDefault="003B534A" w:rsidP="008150E4">
            <w:pPr>
              <w:jc w:val="both"/>
              <w:rPr>
                <w:color w:val="000000"/>
              </w:rPr>
            </w:pPr>
          </w:p>
        </w:tc>
      </w:tr>
    </w:tbl>
    <w:p w14:paraId="78072FBB"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230B0048" w14:textId="77777777" w:rsidTr="009E4F50">
        <w:trPr>
          <w:cantSplit/>
        </w:trPr>
        <w:tc>
          <w:tcPr>
            <w:tcW w:w="2410" w:type="dxa"/>
            <w:tcBorders>
              <w:right w:val="single" w:sz="4" w:space="0" w:color="auto"/>
            </w:tcBorders>
            <w:shd w:val="clear" w:color="auto" w:fill="auto"/>
            <w:tcMar>
              <w:left w:w="0" w:type="dxa"/>
            </w:tcMar>
          </w:tcPr>
          <w:p w14:paraId="46BF08A7" w14:textId="77777777" w:rsidR="003B534A" w:rsidRPr="008F2D44" w:rsidRDefault="003B534A" w:rsidP="008150E4">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BBC1EA" w14:textId="77777777" w:rsidR="003B534A" w:rsidRDefault="003B534A" w:rsidP="008150E4">
            <w:pPr>
              <w:jc w:val="both"/>
              <w:rPr>
                <w:color w:val="000000"/>
              </w:rPr>
            </w:pPr>
          </w:p>
        </w:tc>
      </w:tr>
    </w:tbl>
    <w:p w14:paraId="78168E90" w14:textId="77777777" w:rsidR="003B534A" w:rsidRDefault="003B534A" w:rsidP="008150E4">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14:paraId="4EA90D97" w14:textId="77777777" w:rsidTr="003B534A">
        <w:trPr>
          <w:cantSplit/>
        </w:trPr>
        <w:tc>
          <w:tcPr>
            <w:tcW w:w="2410" w:type="dxa"/>
            <w:tcBorders>
              <w:right w:val="single" w:sz="4" w:space="0" w:color="auto"/>
            </w:tcBorders>
            <w:shd w:val="clear" w:color="auto" w:fill="auto"/>
            <w:tcMar>
              <w:left w:w="0" w:type="dxa"/>
            </w:tcMar>
          </w:tcPr>
          <w:p w14:paraId="1468244C" w14:textId="77777777" w:rsidR="003B534A" w:rsidRPr="008F2D44" w:rsidRDefault="003B534A" w:rsidP="008150E4">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45465B" w14:textId="77777777" w:rsidR="003B534A" w:rsidRDefault="003B534A" w:rsidP="008150E4">
            <w:pPr>
              <w:jc w:val="both"/>
              <w:rPr>
                <w:color w:val="000000"/>
              </w:rPr>
            </w:pPr>
          </w:p>
        </w:tc>
      </w:tr>
    </w:tbl>
    <w:p w14:paraId="467B2F59" w14:textId="77777777" w:rsidR="003B534A" w:rsidRDefault="003B534A" w:rsidP="008150E4">
      <w:pPr>
        <w:tabs>
          <w:tab w:val="left" w:pos="2751"/>
        </w:tabs>
        <w:ind w:left="57"/>
        <w:jc w:val="both"/>
        <w:rPr>
          <w:color w:val="000000"/>
        </w:rPr>
      </w:pPr>
    </w:p>
    <w:p w14:paraId="7ED44CD5" w14:textId="4771D881" w:rsidR="00DF644D" w:rsidRPr="002147DD" w:rsidRDefault="00DF644D" w:rsidP="00DF644D">
      <w:pPr>
        <w:pStyle w:val="Heading1"/>
        <w:numPr>
          <w:ilvl w:val="0"/>
          <w:numId w:val="0"/>
        </w:numPr>
      </w:pPr>
      <w:bookmarkStart w:id="29" w:name="_Toc201061314"/>
      <w:r>
        <w:lastRenderedPageBreak/>
        <w:t>Appendix G: Certificate of non-collusion and non-canvassing</w:t>
      </w:r>
      <w:bookmarkEnd w:id="29"/>
    </w:p>
    <w:p w14:paraId="31948FF9" w14:textId="77777777" w:rsidR="00BE665B" w:rsidRDefault="00BE665B" w:rsidP="00BE665B">
      <w:pPr>
        <w:pStyle w:val="Heading2-NotToC"/>
      </w:pPr>
      <w:r>
        <w:t>Statement of non-canvassing</w:t>
      </w:r>
    </w:p>
    <w:p w14:paraId="2B642265" w14:textId="77777777" w:rsidR="00BE665B" w:rsidRDefault="00BE665B" w:rsidP="00CC509E">
      <w:pPr>
        <w:pStyle w:val="BodyText1"/>
        <w:jc w:val="both"/>
      </w:pPr>
      <w: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77777777" w:rsidR="00BE665B" w:rsidRDefault="00BE665B" w:rsidP="00CC509E">
      <w:pPr>
        <w:pStyle w:val="BodyText1"/>
        <w:jc w:val="both"/>
      </w:pPr>
      <w: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Default="00BE665B" w:rsidP="00CC509E">
      <w:pPr>
        <w:pStyle w:val="Heading2-NotToC"/>
        <w:jc w:val="both"/>
      </w:pPr>
      <w:r>
        <w:t>Statement of non-collusion</w:t>
      </w:r>
    </w:p>
    <w:p w14:paraId="7BEE7BDF" w14:textId="77777777" w:rsidR="00BE665B" w:rsidRDefault="00BE665B" w:rsidP="00CC509E">
      <w:pPr>
        <w:pStyle w:val="BodyText1"/>
        <w:jc w:val="both"/>
      </w:pPr>
      <w:r>
        <w:t>The Authority must receive bona fide competitive tenders from all Suppliers.</w:t>
      </w:r>
    </w:p>
    <w:p w14:paraId="071302D7" w14:textId="77777777" w:rsidR="00BE665B" w:rsidRDefault="00BE665B" w:rsidP="00CC509E">
      <w:pPr>
        <w:pStyle w:val="BodyText1"/>
        <w:jc w:val="both"/>
      </w:pPr>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Default="00BE665B" w:rsidP="00CC509E">
      <w:pPr>
        <w:pStyle w:val="BodyText1"/>
        <w:jc w:val="both"/>
      </w:pPr>
      <w:r>
        <w:t>I/we also certify that I/we have not done, and undertake that I/we will not do, at any time during the Procurement or, in the event of my/our final tender being successful, during the term of the contract, any of the following acts:</w:t>
      </w:r>
    </w:p>
    <w:p w14:paraId="3A698F0B" w14:textId="77777777" w:rsidR="00BE665B" w:rsidRDefault="00BE665B" w:rsidP="00CC509E">
      <w:pPr>
        <w:pStyle w:val="BodyText1"/>
        <w:ind w:left="714" w:hanging="357"/>
        <w:jc w:val="both"/>
      </w:pPr>
      <w:r>
        <w:t>1.</w:t>
      </w:r>
      <w: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Default="00BE665B" w:rsidP="00CC509E">
      <w:pPr>
        <w:pStyle w:val="BodyText1"/>
        <w:ind w:left="714" w:hanging="357"/>
        <w:jc w:val="both"/>
      </w:pPr>
      <w:r>
        <w:t>2.</w:t>
      </w:r>
      <w:r>
        <w:tab/>
        <w:t>enter into any agreement or agreements with any other person that they shall refrain from participating in the tendering process carried out by the Authority or as to the amount of any offer submitted by them during the course of this process</w:t>
      </w:r>
    </w:p>
    <w:p w14:paraId="101EABAE" w14:textId="77777777" w:rsidR="00BE665B" w:rsidRDefault="00BE665B" w:rsidP="00CC509E">
      <w:pPr>
        <w:pStyle w:val="BodyText1"/>
        <w:ind w:left="714" w:hanging="357"/>
        <w:jc w:val="both"/>
      </w:pPr>
      <w:r>
        <w:t>3.</w:t>
      </w:r>
      <w:r>
        <w:tab/>
        <w:t>cause or induce any person to enter into such an agreement as is mentioned in paragraph 2 above or to inform us of the amount or the approximate amount of any other tender for the contract</w:t>
      </w:r>
    </w:p>
    <w:p w14:paraId="03ACEA7C" w14:textId="77777777" w:rsidR="00BE665B" w:rsidRDefault="00BE665B" w:rsidP="00CC509E">
      <w:pPr>
        <w:pStyle w:val="BodyText1"/>
        <w:ind w:left="714" w:hanging="357"/>
        <w:jc w:val="both"/>
      </w:pPr>
      <w:r>
        <w:t>4.</w:t>
      </w:r>
      <w:r>
        <w:tab/>
        <w:t>commit any offence under the Bribery Act 2010</w:t>
      </w:r>
    </w:p>
    <w:p w14:paraId="1BAC5A56" w14:textId="77777777" w:rsidR="00BE665B" w:rsidRDefault="00BE665B" w:rsidP="00CC509E">
      <w:pPr>
        <w:pStyle w:val="BodyText1"/>
        <w:ind w:left="714" w:hanging="357"/>
        <w:jc w:val="both"/>
      </w:pPr>
      <w:r>
        <w:t>5.</w:t>
      </w:r>
      <w: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3E124D10" w14:textId="77777777" w:rsidR="00BE665B" w:rsidRDefault="00BE665B" w:rsidP="00CC509E">
      <w:pPr>
        <w:pStyle w:val="BodyText1"/>
        <w:jc w:val="both"/>
      </w:pPr>
      <w:r>
        <w:lastRenderedPageBreak/>
        <w:t>In this certificate, the word ’person’ includes any person, body or association, corporate or incorporate and ‘agreement’ includes any arrangement whether formal or informal and whether legally binding or not.</w:t>
      </w:r>
    </w:p>
    <w:p w14:paraId="5F234503" w14:textId="77777777" w:rsidR="00BE665B" w:rsidRDefault="00BE665B" w:rsidP="00CC509E">
      <w:pPr>
        <w:pStyle w:val="BodyText1"/>
        <w:jc w:val="both"/>
      </w:pPr>
      <w:r>
        <w:t>I/we agree that the Authority may, in its consideration of the tender and in any subsequent actions, rely on the statements made in this Certificate.</w:t>
      </w:r>
    </w:p>
    <w:p w14:paraId="671B7B00"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4DEB8FEC" w14:textId="77777777" w:rsidTr="009E4F50">
        <w:trPr>
          <w:cantSplit/>
        </w:trPr>
        <w:tc>
          <w:tcPr>
            <w:tcW w:w="2410" w:type="dxa"/>
            <w:tcBorders>
              <w:right w:val="single" w:sz="4" w:space="0" w:color="auto"/>
            </w:tcBorders>
            <w:shd w:val="clear" w:color="auto" w:fill="auto"/>
            <w:tcMar>
              <w:left w:w="0" w:type="dxa"/>
            </w:tcMar>
          </w:tcPr>
          <w:p w14:paraId="244A92F5" w14:textId="77777777" w:rsidR="00BE665B" w:rsidRPr="008F2D44" w:rsidRDefault="00BE665B" w:rsidP="00CC509E">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F48051" w14:textId="77777777" w:rsidR="00BE665B" w:rsidRDefault="00BE665B" w:rsidP="00CC509E">
            <w:pPr>
              <w:jc w:val="both"/>
              <w:rPr>
                <w:color w:val="000000"/>
              </w:rPr>
            </w:pPr>
          </w:p>
        </w:tc>
      </w:tr>
    </w:tbl>
    <w:p w14:paraId="60FD2B2C"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19ED6A2C" w14:textId="77777777" w:rsidTr="009E4F50">
        <w:trPr>
          <w:cantSplit/>
        </w:trPr>
        <w:tc>
          <w:tcPr>
            <w:tcW w:w="2410" w:type="dxa"/>
            <w:tcBorders>
              <w:right w:val="single" w:sz="4" w:space="0" w:color="auto"/>
            </w:tcBorders>
            <w:shd w:val="clear" w:color="auto" w:fill="auto"/>
            <w:tcMar>
              <w:left w:w="0" w:type="dxa"/>
            </w:tcMar>
          </w:tcPr>
          <w:p w14:paraId="6B6E1A0A" w14:textId="77777777" w:rsidR="00BE665B" w:rsidRPr="008F2D44" w:rsidRDefault="00BE665B" w:rsidP="00CC509E">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9E9D06A" w14:textId="77777777" w:rsidR="00BE665B" w:rsidRDefault="00BE665B" w:rsidP="00CC509E">
            <w:pPr>
              <w:jc w:val="both"/>
              <w:rPr>
                <w:color w:val="000000"/>
              </w:rPr>
            </w:pPr>
          </w:p>
        </w:tc>
      </w:tr>
    </w:tbl>
    <w:p w14:paraId="440ED09B"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25C2976C" w14:textId="77777777" w:rsidTr="009E4F50">
        <w:trPr>
          <w:cantSplit/>
          <w:trHeight w:val="23"/>
        </w:trPr>
        <w:tc>
          <w:tcPr>
            <w:tcW w:w="2410" w:type="dxa"/>
            <w:tcBorders>
              <w:right w:val="single" w:sz="4" w:space="0" w:color="auto"/>
            </w:tcBorders>
            <w:shd w:val="clear" w:color="auto" w:fill="auto"/>
            <w:tcMar>
              <w:left w:w="0" w:type="dxa"/>
            </w:tcMar>
          </w:tcPr>
          <w:p w14:paraId="0765B41C" w14:textId="77777777" w:rsidR="00BE665B" w:rsidRPr="008F2D44" w:rsidRDefault="00BE665B" w:rsidP="00CC509E">
            <w:pPr>
              <w:jc w:val="both"/>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BB5BEE" w14:textId="77777777" w:rsidR="00BE665B" w:rsidRDefault="00BE665B" w:rsidP="00CC509E">
            <w:pPr>
              <w:jc w:val="both"/>
              <w:rPr>
                <w:color w:val="000000"/>
              </w:rPr>
            </w:pPr>
          </w:p>
        </w:tc>
      </w:tr>
    </w:tbl>
    <w:p w14:paraId="3537DB88"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220D0DA" w14:textId="77777777" w:rsidTr="009E4F50">
        <w:trPr>
          <w:cantSplit/>
        </w:trPr>
        <w:tc>
          <w:tcPr>
            <w:tcW w:w="2410" w:type="dxa"/>
            <w:tcBorders>
              <w:right w:val="single" w:sz="4" w:space="0" w:color="auto"/>
            </w:tcBorders>
            <w:shd w:val="clear" w:color="auto" w:fill="auto"/>
            <w:tcMar>
              <w:left w:w="0" w:type="dxa"/>
            </w:tcMar>
          </w:tcPr>
          <w:p w14:paraId="3AEDCD51" w14:textId="77777777" w:rsidR="00BE665B" w:rsidRPr="008F2D44" w:rsidRDefault="00BE665B" w:rsidP="00CC509E">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EA7F41" w14:textId="77777777" w:rsidR="00BE665B" w:rsidRDefault="00BE665B" w:rsidP="00CC509E">
            <w:pPr>
              <w:jc w:val="both"/>
              <w:rPr>
                <w:color w:val="000000"/>
              </w:rPr>
            </w:pPr>
          </w:p>
        </w:tc>
      </w:tr>
    </w:tbl>
    <w:p w14:paraId="6FF93F24" w14:textId="77777777" w:rsidR="00BE665B" w:rsidRDefault="00BE665B" w:rsidP="00CC509E">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0CB6087F" w14:textId="77777777" w:rsidTr="009E4F50">
        <w:trPr>
          <w:cantSplit/>
        </w:trPr>
        <w:tc>
          <w:tcPr>
            <w:tcW w:w="2410" w:type="dxa"/>
            <w:tcBorders>
              <w:right w:val="single" w:sz="4" w:space="0" w:color="auto"/>
            </w:tcBorders>
            <w:shd w:val="clear" w:color="auto" w:fill="auto"/>
            <w:tcMar>
              <w:left w:w="0" w:type="dxa"/>
            </w:tcMar>
          </w:tcPr>
          <w:p w14:paraId="47F84356" w14:textId="77777777" w:rsidR="00BE665B" w:rsidRPr="008F2D44" w:rsidRDefault="00BE665B" w:rsidP="00CC509E">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3C0C71" w14:textId="77777777" w:rsidR="00BE665B" w:rsidRDefault="00BE665B" w:rsidP="00CC509E">
            <w:pPr>
              <w:jc w:val="both"/>
              <w:rPr>
                <w:color w:val="000000"/>
              </w:rPr>
            </w:pPr>
          </w:p>
        </w:tc>
      </w:tr>
    </w:tbl>
    <w:p w14:paraId="3E70A184" w14:textId="77777777" w:rsidR="00BE665B" w:rsidRDefault="00BE665B" w:rsidP="00CC509E">
      <w:pPr>
        <w:tabs>
          <w:tab w:val="left" w:pos="2751"/>
        </w:tabs>
        <w:ind w:left="57"/>
        <w:jc w:val="both"/>
        <w:rPr>
          <w:color w:val="000000"/>
        </w:rPr>
      </w:pPr>
    </w:p>
    <w:p w14:paraId="01F11355" w14:textId="758B9AB6" w:rsidR="00DF644D" w:rsidRPr="002147DD" w:rsidRDefault="00DF644D" w:rsidP="00DF644D">
      <w:pPr>
        <w:pStyle w:val="Heading1"/>
        <w:numPr>
          <w:ilvl w:val="0"/>
          <w:numId w:val="0"/>
        </w:numPr>
      </w:pPr>
      <w:bookmarkStart w:id="30" w:name="_Toc201061315"/>
      <w:r>
        <w:lastRenderedPageBreak/>
        <w:t>Appendix H: Commercially sensitive information</w:t>
      </w:r>
      <w:bookmarkEnd w:id="30"/>
    </w:p>
    <w:p w14:paraId="187F5735" w14:textId="77777777" w:rsidR="00BE665B" w:rsidRDefault="00BE665B" w:rsidP="00CC509E">
      <w:pPr>
        <w:pStyle w:val="BodyText1"/>
        <w:jc w:val="both"/>
      </w:pPr>
      <w:r>
        <w:t>This appendix should be read in conjunction with the relevant paragraphs relating to freedom of information (FOIA) and environmental information (EIR) in the Procurement terms and conditions.</w:t>
      </w:r>
    </w:p>
    <w:p w14:paraId="68414FFD" w14:textId="77777777" w:rsidR="00BE665B" w:rsidRDefault="00BE665B" w:rsidP="00CC509E">
      <w:pPr>
        <w:pStyle w:val="BodyText1"/>
        <w:jc w:val="both"/>
      </w:pPr>
      <w: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0DC3E046" w14:textId="77777777" w:rsidTr="00CB63E6">
        <w:trPr>
          <w:cantSplit/>
          <w:trHeight w:val="1134"/>
        </w:trPr>
        <w:tc>
          <w:tcPr>
            <w:tcW w:w="10194" w:type="dxa"/>
          </w:tcPr>
          <w:p w14:paraId="2CA6958C" w14:textId="77777777" w:rsidR="005054C1" w:rsidRPr="005F6FA3" w:rsidRDefault="005054C1" w:rsidP="00CC509E">
            <w:pPr>
              <w:spacing w:after="120"/>
              <w:jc w:val="both"/>
              <w:rPr>
                <w:sz w:val="20"/>
                <w:szCs w:val="20"/>
              </w:rPr>
            </w:pPr>
          </w:p>
        </w:tc>
      </w:tr>
    </w:tbl>
    <w:p w14:paraId="2E7F8AB0" w14:textId="77777777" w:rsidR="00BE665B" w:rsidRDefault="00BE665B" w:rsidP="00CC509E">
      <w:pPr>
        <w:pStyle w:val="BodyText1"/>
        <w:jc w:val="both"/>
      </w:pPr>
    </w:p>
    <w:p w14:paraId="6DF850AF" w14:textId="77777777" w:rsidR="00BE665B" w:rsidRDefault="00BE665B" w:rsidP="00CC509E">
      <w:pPr>
        <w:pStyle w:val="BodyText1"/>
        <w:ind w:right="-427"/>
        <w:jc w:val="both"/>
      </w:pPr>
      <w: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255A4F4E" w14:textId="77777777" w:rsidTr="00CB63E6">
        <w:trPr>
          <w:cantSplit/>
          <w:trHeight w:val="1134"/>
        </w:trPr>
        <w:tc>
          <w:tcPr>
            <w:tcW w:w="10194" w:type="dxa"/>
          </w:tcPr>
          <w:p w14:paraId="6A3C461A" w14:textId="77777777" w:rsidR="005054C1" w:rsidRPr="005F6FA3" w:rsidRDefault="005054C1" w:rsidP="00CC509E">
            <w:pPr>
              <w:spacing w:after="120"/>
              <w:jc w:val="both"/>
              <w:rPr>
                <w:sz w:val="20"/>
                <w:szCs w:val="20"/>
              </w:rPr>
            </w:pPr>
          </w:p>
        </w:tc>
      </w:tr>
    </w:tbl>
    <w:p w14:paraId="14A1207B" w14:textId="77777777" w:rsidR="005054C1" w:rsidRDefault="005054C1" w:rsidP="00CC509E">
      <w:pPr>
        <w:pStyle w:val="BodyText1"/>
        <w:jc w:val="both"/>
      </w:pPr>
    </w:p>
    <w:p w14:paraId="0467CA8E" w14:textId="77777777" w:rsidR="00BE665B" w:rsidRDefault="00BE665B" w:rsidP="00CC509E">
      <w:pPr>
        <w:pStyle w:val="BodyText1"/>
        <w:jc w:val="both"/>
      </w:pPr>
      <w:r>
        <w:t>The period of time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4E0997D2" w14:textId="77777777" w:rsidTr="00CB63E6">
        <w:trPr>
          <w:cantSplit/>
          <w:trHeight w:val="1134"/>
        </w:trPr>
        <w:tc>
          <w:tcPr>
            <w:tcW w:w="10194" w:type="dxa"/>
          </w:tcPr>
          <w:p w14:paraId="1CD26216" w14:textId="77777777" w:rsidR="005054C1" w:rsidRPr="005F6FA3" w:rsidRDefault="005054C1" w:rsidP="00CC509E">
            <w:pPr>
              <w:spacing w:after="120"/>
              <w:jc w:val="both"/>
              <w:rPr>
                <w:sz w:val="20"/>
                <w:szCs w:val="20"/>
              </w:rPr>
            </w:pPr>
          </w:p>
        </w:tc>
      </w:tr>
    </w:tbl>
    <w:p w14:paraId="6112251C" w14:textId="77777777" w:rsidR="005054C1" w:rsidRDefault="005054C1" w:rsidP="00CC509E">
      <w:pPr>
        <w:pStyle w:val="BodyText1"/>
        <w:jc w:val="both"/>
      </w:pPr>
    </w:p>
    <w:p w14:paraId="10268A80" w14:textId="77777777" w:rsidR="00BE665B" w:rsidRDefault="00BE665B" w:rsidP="00CC509E">
      <w:pPr>
        <w:pStyle w:val="BodyText1"/>
        <w:jc w:val="both"/>
      </w:pPr>
      <w:r>
        <w:t>Supplier to amend as appropriate [until award of contract OR during the period of the contract OR for a period of [number] years until [month], [year]].</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4C175F8C" w14:textId="77777777" w:rsidTr="00CB63E6">
        <w:trPr>
          <w:cantSplit/>
          <w:trHeight w:val="1134"/>
        </w:trPr>
        <w:tc>
          <w:tcPr>
            <w:tcW w:w="10194" w:type="dxa"/>
          </w:tcPr>
          <w:p w14:paraId="319C167C" w14:textId="77777777" w:rsidR="005054C1" w:rsidRPr="005F6FA3" w:rsidRDefault="005054C1" w:rsidP="00CC509E">
            <w:pPr>
              <w:spacing w:after="120"/>
              <w:jc w:val="both"/>
              <w:rPr>
                <w:sz w:val="20"/>
                <w:szCs w:val="20"/>
              </w:rPr>
            </w:pPr>
          </w:p>
        </w:tc>
      </w:tr>
    </w:tbl>
    <w:p w14:paraId="37B96928" w14:textId="77777777" w:rsidR="005054C1" w:rsidRDefault="005054C1" w:rsidP="00CC509E">
      <w:pPr>
        <w:pStyle w:val="BodyText1"/>
        <w:jc w:val="both"/>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664DC957" w14:textId="77777777" w:rsidTr="009E4F50">
        <w:trPr>
          <w:cantSplit/>
        </w:trPr>
        <w:tc>
          <w:tcPr>
            <w:tcW w:w="2410" w:type="dxa"/>
            <w:tcBorders>
              <w:right w:val="single" w:sz="4" w:space="0" w:color="auto"/>
            </w:tcBorders>
            <w:shd w:val="clear" w:color="auto" w:fill="auto"/>
            <w:tcMar>
              <w:left w:w="0" w:type="dxa"/>
            </w:tcMar>
          </w:tcPr>
          <w:p w14:paraId="5F040191" w14:textId="77777777" w:rsidR="00BE665B" w:rsidRPr="008F2D44" w:rsidRDefault="00BE665B" w:rsidP="00CC509E">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7BCEFF1" w14:textId="77777777" w:rsidR="00BE665B" w:rsidRDefault="00BE665B" w:rsidP="00CC509E">
            <w:pPr>
              <w:jc w:val="both"/>
              <w:rPr>
                <w:color w:val="000000"/>
              </w:rPr>
            </w:pPr>
          </w:p>
        </w:tc>
      </w:tr>
    </w:tbl>
    <w:p w14:paraId="5131F1CF"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3F8FF2B" w14:textId="77777777" w:rsidTr="009E4F50">
        <w:trPr>
          <w:cantSplit/>
        </w:trPr>
        <w:tc>
          <w:tcPr>
            <w:tcW w:w="2410" w:type="dxa"/>
            <w:tcBorders>
              <w:right w:val="single" w:sz="4" w:space="0" w:color="auto"/>
            </w:tcBorders>
            <w:shd w:val="clear" w:color="auto" w:fill="auto"/>
            <w:tcMar>
              <w:left w:w="0" w:type="dxa"/>
            </w:tcMar>
          </w:tcPr>
          <w:p w14:paraId="04167EED" w14:textId="77777777" w:rsidR="00BE665B" w:rsidRPr="008F2D44" w:rsidRDefault="00BE665B" w:rsidP="00CC509E">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E0FECB6" w14:textId="77777777" w:rsidR="00BE665B" w:rsidRDefault="00BE665B" w:rsidP="00CC509E">
            <w:pPr>
              <w:jc w:val="both"/>
              <w:rPr>
                <w:color w:val="000000"/>
              </w:rPr>
            </w:pPr>
          </w:p>
        </w:tc>
      </w:tr>
    </w:tbl>
    <w:p w14:paraId="32621AF8"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CFD963C" w14:textId="77777777" w:rsidTr="009E4F50">
        <w:trPr>
          <w:cantSplit/>
          <w:trHeight w:val="23"/>
        </w:trPr>
        <w:tc>
          <w:tcPr>
            <w:tcW w:w="2410" w:type="dxa"/>
            <w:tcBorders>
              <w:right w:val="single" w:sz="4" w:space="0" w:color="auto"/>
            </w:tcBorders>
            <w:shd w:val="clear" w:color="auto" w:fill="auto"/>
            <w:tcMar>
              <w:left w:w="0" w:type="dxa"/>
            </w:tcMar>
          </w:tcPr>
          <w:p w14:paraId="78B169CB" w14:textId="77777777" w:rsidR="00BE665B" w:rsidRPr="008F2D44" w:rsidRDefault="00BE665B" w:rsidP="00CC509E">
            <w:pPr>
              <w:jc w:val="both"/>
              <w:rPr>
                <w:b/>
                <w:bCs/>
              </w:rPr>
            </w:pPr>
            <w:r>
              <w:rPr>
                <w:b/>
              </w:rPr>
              <w:lastRenderedPageBreak/>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9347872" w14:textId="77777777" w:rsidR="00BE665B" w:rsidRDefault="00BE665B" w:rsidP="00CC509E">
            <w:pPr>
              <w:jc w:val="both"/>
              <w:rPr>
                <w:color w:val="000000"/>
              </w:rPr>
            </w:pPr>
          </w:p>
        </w:tc>
      </w:tr>
    </w:tbl>
    <w:p w14:paraId="2779806C"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B03238F" w14:textId="77777777" w:rsidTr="009E4F50">
        <w:trPr>
          <w:cantSplit/>
        </w:trPr>
        <w:tc>
          <w:tcPr>
            <w:tcW w:w="2410" w:type="dxa"/>
            <w:tcBorders>
              <w:right w:val="single" w:sz="4" w:space="0" w:color="auto"/>
            </w:tcBorders>
            <w:shd w:val="clear" w:color="auto" w:fill="auto"/>
            <w:tcMar>
              <w:left w:w="0" w:type="dxa"/>
            </w:tcMar>
          </w:tcPr>
          <w:p w14:paraId="7B40760A" w14:textId="77777777" w:rsidR="00BE665B" w:rsidRPr="008F2D44" w:rsidRDefault="00BE665B" w:rsidP="00CC509E">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2FD506C" w14:textId="77777777" w:rsidR="00BE665B" w:rsidRDefault="00BE665B" w:rsidP="00CC509E">
            <w:pPr>
              <w:jc w:val="both"/>
              <w:rPr>
                <w:color w:val="000000"/>
              </w:rPr>
            </w:pPr>
          </w:p>
        </w:tc>
      </w:tr>
    </w:tbl>
    <w:p w14:paraId="42782D8B" w14:textId="77777777" w:rsidR="00BE665B" w:rsidRDefault="00BE665B" w:rsidP="00CC509E">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525AEDF6" w14:textId="77777777" w:rsidTr="009E4F50">
        <w:trPr>
          <w:cantSplit/>
        </w:trPr>
        <w:tc>
          <w:tcPr>
            <w:tcW w:w="2410" w:type="dxa"/>
            <w:tcBorders>
              <w:right w:val="single" w:sz="4" w:space="0" w:color="auto"/>
            </w:tcBorders>
            <w:shd w:val="clear" w:color="auto" w:fill="auto"/>
            <w:tcMar>
              <w:left w:w="0" w:type="dxa"/>
            </w:tcMar>
          </w:tcPr>
          <w:p w14:paraId="17780C6F" w14:textId="77777777" w:rsidR="00BE665B" w:rsidRPr="008F2D44" w:rsidRDefault="00BE665B" w:rsidP="00CC509E">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381B71E" w14:textId="77777777" w:rsidR="00BE665B" w:rsidRDefault="00BE665B" w:rsidP="00CC509E">
            <w:pPr>
              <w:jc w:val="both"/>
              <w:rPr>
                <w:color w:val="000000"/>
              </w:rPr>
            </w:pPr>
          </w:p>
        </w:tc>
      </w:tr>
    </w:tbl>
    <w:p w14:paraId="0567DE26" w14:textId="77777777" w:rsidR="00BE665B" w:rsidRDefault="00BE665B" w:rsidP="00CC509E">
      <w:pPr>
        <w:tabs>
          <w:tab w:val="left" w:pos="2751"/>
        </w:tabs>
        <w:ind w:left="57"/>
        <w:jc w:val="both"/>
        <w:rPr>
          <w:color w:val="000000"/>
        </w:rPr>
      </w:pPr>
    </w:p>
    <w:sectPr w:rsidR="00BE665B" w:rsidSect="001C5F1D">
      <w:headerReference w:type="default" r:id="rId20"/>
      <w:footerReference w:type="even" r:id="rId21"/>
      <w:footerReference w:type="default" r:id="rId22"/>
      <w:footerReference w:type="first" r:id="rId23"/>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B3F3" w14:textId="77777777" w:rsidR="00FE0C5D" w:rsidRDefault="00FE0C5D">
      <w:r>
        <w:separator/>
      </w:r>
    </w:p>
  </w:endnote>
  <w:endnote w:type="continuationSeparator" w:id="0">
    <w:p w14:paraId="2CA53564" w14:textId="77777777" w:rsidR="00FE0C5D" w:rsidRDefault="00FE0C5D">
      <w:r>
        <w:continuationSeparator/>
      </w:r>
    </w:p>
  </w:endnote>
  <w:endnote w:type="continuationNotice" w:id="1">
    <w:p w14:paraId="25C60A10" w14:textId="77777777" w:rsidR="00FE0C5D" w:rsidRDefault="00FE0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5E1DBCFB" w:rsidR="002F0AA3" w:rsidRDefault="005A0246" w:rsidP="00955916">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1" behindDoc="0" locked="0" layoutInCell="1" allowOverlap="1" wp14:anchorId="35E7D59B" wp14:editId="2F48BA5C">
              <wp:simplePos x="635" y="635"/>
              <wp:positionH relativeFrom="page">
                <wp:align>left</wp:align>
              </wp:positionH>
              <wp:positionV relativeFrom="page">
                <wp:align>bottom</wp:align>
              </wp:positionV>
              <wp:extent cx="1463675" cy="333375"/>
              <wp:effectExtent l="0" t="0" r="3175" b="0"/>
              <wp:wrapNone/>
              <wp:docPr id="617422635"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2BF06D01" w14:textId="4192941B"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7D59B"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115.25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" filled="f" stroked="f">
              <v:textbox style="mso-fit-shape-to-text:t" inset="20pt,0,0,15pt">
                <w:txbxContent>
                  <w:p w14:paraId="2BF06D01" w14:textId="4192941B"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7A24EF3" w14:textId="77777777" w:rsidR="00685134" w:rsidRDefault="00685134" w:rsidP="00955916">
    <w:pPr>
      <w:tabs>
        <w:tab w:val="center" w:pos="4820"/>
      </w:tabs>
      <w:spacing w:after="120" w:line="192" w:lineRule="auto"/>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2852" w14:textId="77777777" w:rsidR="00EC56EA" w:rsidRPr="00EC56EA" w:rsidRDefault="005A0246" w:rsidP="00EC56EA">
    <w:pPr>
      <w:tabs>
        <w:tab w:val="center" w:pos="4820"/>
      </w:tabs>
      <w:spacing w:after="120" w:line="192" w:lineRule="auto"/>
      <w:rPr>
        <w:noProof/>
        <w:color w:val="000000"/>
        <w:sz w:val="14"/>
        <w:szCs w:val="14"/>
      </w:rPr>
    </w:pPr>
    <w:r>
      <w:rPr>
        <w:noProof/>
        <w:color w:val="000000"/>
        <w:sz w:val="14"/>
        <w:szCs w:val="14"/>
      </w:rPr>
      <mc:AlternateContent>
        <mc:Choice Requires="wps">
          <w:drawing>
            <wp:anchor distT="0" distB="0" distL="0" distR="0" simplePos="0" relativeHeight="251658242" behindDoc="0" locked="0" layoutInCell="1" allowOverlap="1" wp14:anchorId="026E1910" wp14:editId="0C95868B">
              <wp:simplePos x="635" y="635"/>
              <wp:positionH relativeFrom="page">
                <wp:align>left</wp:align>
              </wp:positionH>
              <wp:positionV relativeFrom="page">
                <wp:align>bottom</wp:align>
              </wp:positionV>
              <wp:extent cx="1463675" cy="333375"/>
              <wp:effectExtent l="0" t="0" r="3175" b="0"/>
              <wp:wrapNone/>
              <wp:docPr id="1030604440"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645A5CCB" w14:textId="79A6BC5F"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6E1910" id="_x0000_t202" coordsize="21600,21600" o:spt="202" path="m,l,21600r21600,l21600,xe">
              <v:stroke joinstyle="miter"/>
              <v:path gradientshapeok="t" o:connecttype="rect"/>
            </v:shapetype>
            <v:shape id="Text Box 3" o:spid="_x0000_s1027" type="#_x0000_t202" alt="Unrestricted Document" style="position:absolute;margin-left:0;margin-top:0;width:115.25pt;height:26.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" filled="f" stroked="f">
              <v:textbox style="mso-fit-shape-to-text:t" inset="20pt,0,0,15pt">
                <w:txbxContent>
                  <w:p w14:paraId="645A5CCB" w14:textId="79A6BC5F"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EC56EA" w:rsidRPr="00EC56EA">
      <w:rPr>
        <w:noProof/>
        <w:color w:val="000000"/>
        <w:sz w:val="14"/>
        <w:szCs w:val="14"/>
      </w:rPr>
      <w:t>London LGPS CIV Limited is a private limited company, registered in England and Wales. Registered number 09136445. Registered office: 4th Floor, 22 Lavington Street, London SE1 0NZ. Authorised and regulated by the Financial Conduct Authority, reference number 710618.</w:t>
    </w:r>
  </w:p>
  <w:p w14:paraId="17E7A21B" w14:textId="7F82984B" w:rsidR="002F0AA3" w:rsidRDefault="002F0AA3" w:rsidP="002F0AA3">
    <w:pPr>
      <w:tabs>
        <w:tab w:val="center" w:pos="4820"/>
      </w:tabs>
      <w:spacing w:after="120" w:line="192" w:lineRule="auto"/>
      <w:rPr>
        <w:color w:val="000000"/>
        <w:sz w:val="20"/>
        <w:szCs w:val="20"/>
      </w:rPr>
    </w:pPr>
    <w:r>
      <w:rPr>
        <w:color w:val="000000"/>
        <w:sz w:val="10"/>
        <w:szCs w:val="1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64421B50" w:rsidR="00B47953" w:rsidRDefault="005A0246" w:rsidP="00D310F9">
    <w:pPr>
      <w:pStyle w:val="Footer"/>
      <w:jc w:val="center"/>
    </w:pPr>
    <w:r>
      <w:rPr>
        <w:noProof/>
      </w:rPr>
      <mc:AlternateContent>
        <mc:Choice Requires="wps">
          <w:drawing>
            <wp:anchor distT="0" distB="0" distL="0" distR="0" simplePos="0" relativeHeight="251658240" behindDoc="0" locked="0" layoutInCell="1" allowOverlap="1" wp14:anchorId="571EAC92" wp14:editId="0F02C46F">
              <wp:simplePos x="635" y="635"/>
              <wp:positionH relativeFrom="page">
                <wp:align>left</wp:align>
              </wp:positionH>
              <wp:positionV relativeFrom="page">
                <wp:align>bottom</wp:align>
              </wp:positionV>
              <wp:extent cx="1463675" cy="333375"/>
              <wp:effectExtent l="0" t="0" r="3175" b="0"/>
              <wp:wrapNone/>
              <wp:docPr id="1295818342"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70C0CF97" w14:textId="2FE8BF61"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EAC92" id="_x0000_t202" coordsize="21600,21600" o:spt="202" path="m,l,21600r21600,l21600,xe">
              <v:stroke joinstyle="miter"/>
              <v:path gradientshapeok="t" o:connecttype="rect"/>
            </v:shapetype>
            <v:shape id="Text Box 1" o:spid="_x0000_s1028" type="#_x0000_t202" alt="Unrestricted Document" style="position:absolute;left:0;text-align:left;margin-left:0;margin-top:0;width:115.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" filled="f" stroked="f">
              <v:textbox style="mso-fit-shape-to-text:t" inset="20pt,0,0,15pt">
                <w:txbxContent>
                  <w:p w14:paraId="70C0CF97" w14:textId="2FE8BF61"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C86" w14:textId="61D7858D" w:rsidR="005A0246" w:rsidRDefault="005A0246">
    <w:pPr>
      <w:pStyle w:val="Footer"/>
    </w:pPr>
    <w:r>
      <w:rPr>
        <w:noProof/>
      </w:rPr>
      <mc:AlternateContent>
        <mc:Choice Requires="wps">
          <w:drawing>
            <wp:anchor distT="0" distB="0" distL="0" distR="0" simplePos="0" relativeHeight="251658244" behindDoc="0" locked="0" layoutInCell="1" allowOverlap="1" wp14:anchorId="242B605F" wp14:editId="0C70D356">
              <wp:simplePos x="635" y="635"/>
              <wp:positionH relativeFrom="page">
                <wp:align>left</wp:align>
              </wp:positionH>
              <wp:positionV relativeFrom="page">
                <wp:align>bottom</wp:align>
              </wp:positionV>
              <wp:extent cx="1463675" cy="333375"/>
              <wp:effectExtent l="0" t="0" r="3175" b="0"/>
              <wp:wrapNone/>
              <wp:docPr id="104853538"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4D6B1EDD" w14:textId="218BD4D6"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B605F" id="_x0000_t202" coordsize="21600,21600" o:spt="202" path="m,l,21600r21600,l21600,xe">
              <v:stroke joinstyle="miter"/>
              <v:path gradientshapeok="t" o:connecttype="rect"/>
            </v:shapetype>
            <v:shape id="Text Box 5" o:spid="_x0000_s1029" type="#_x0000_t202" alt="Unrestricted Document" style="position:absolute;margin-left:0;margin-top:0;width:115.25pt;height:26.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" filled="f" stroked="f">
              <v:textbox style="mso-fit-shape-to-text:t" inset="20pt,0,0,15pt">
                <w:txbxContent>
                  <w:p w14:paraId="4D6B1EDD" w14:textId="218BD4D6"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3EDAB915" w:rsidR="00955916" w:rsidRDefault="005A0246" w:rsidP="00955916">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5" behindDoc="0" locked="0" layoutInCell="1" allowOverlap="1" wp14:anchorId="67FB3511" wp14:editId="0035BF5B">
              <wp:simplePos x="635" y="635"/>
              <wp:positionH relativeFrom="page">
                <wp:align>left</wp:align>
              </wp:positionH>
              <wp:positionV relativeFrom="page">
                <wp:align>bottom</wp:align>
              </wp:positionV>
              <wp:extent cx="1463675" cy="333375"/>
              <wp:effectExtent l="0" t="0" r="3175" b="0"/>
              <wp:wrapNone/>
              <wp:docPr id="2109952689" name="Text Box 6"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185D8392" w14:textId="568D279E"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FB3511" id="_x0000_t202" coordsize="21600,21600" o:spt="202" path="m,l,21600r21600,l21600,xe">
              <v:stroke joinstyle="miter"/>
              <v:path gradientshapeok="t" o:connecttype="rect"/>
            </v:shapetype>
            <v:shape id="Text Box 6" o:spid="_x0000_s1030" type="#_x0000_t202" alt="Unrestricted Document" style="position:absolute;left:0;text-align:left;margin-left:0;margin-top:0;width:115.25pt;height:26.2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" filled="f" stroked="f">
              <v:textbox style="mso-fit-shape-to-text:t" inset="20pt,0,0,15pt">
                <w:txbxContent>
                  <w:p w14:paraId="185D8392" w14:textId="568D279E"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078" w14:textId="712AC7CD" w:rsidR="005A0246" w:rsidRDefault="005A0246">
    <w:pPr>
      <w:pStyle w:val="Footer"/>
    </w:pPr>
    <w:r>
      <w:rPr>
        <w:noProof/>
      </w:rPr>
      <mc:AlternateContent>
        <mc:Choice Requires="wps">
          <w:drawing>
            <wp:anchor distT="0" distB="0" distL="0" distR="0" simplePos="0" relativeHeight="251658243" behindDoc="0" locked="0" layoutInCell="1" allowOverlap="1" wp14:anchorId="114004E1" wp14:editId="51ED6E09">
              <wp:simplePos x="635" y="635"/>
              <wp:positionH relativeFrom="page">
                <wp:align>left</wp:align>
              </wp:positionH>
              <wp:positionV relativeFrom="page">
                <wp:align>bottom</wp:align>
              </wp:positionV>
              <wp:extent cx="1463675" cy="333375"/>
              <wp:effectExtent l="0" t="0" r="3175" b="0"/>
              <wp:wrapNone/>
              <wp:docPr id="406848863"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75EEE31C" w14:textId="688BB00A"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4004E1" id="_x0000_t202" coordsize="21600,21600" o:spt="202" path="m,l,21600r21600,l21600,xe">
              <v:stroke joinstyle="miter"/>
              <v:path gradientshapeok="t" o:connecttype="rect"/>
            </v:shapetype>
            <v:shape id="Text Box 4" o:spid="_x0000_s1031" type="#_x0000_t202" alt="Unrestricted Document" style="position:absolute;margin-left:0;margin-top:0;width:115.25pt;height:26.2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" filled="f" stroked="f">
              <v:textbox style="mso-fit-shape-to-text:t" inset="20pt,0,0,15pt">
                <w:txbxContent>
                  <w:p w14:paraId="75EEE31C" w14:textId="688BB00A"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0AF3" w14:textId="77777777" w:rsidR="00FE0C5D" w:rsidRDefault="00FE0C5D">
      <w:r>
        <w:separator/>
      </w:r>
    </w:p>
  </w:footnote>
  <w:footnote w:type="continuationSeparator" w:id="0">
    <w:p w14:paraId="09138974" w14:textId="77777777" w:rsidR="00FE0C5D" w:rsidRDefault="00FE0C5D">
      <w:r>
        <w:continuationSeparator/>
      </w:r>
    </w:p>
  </w:footnote>
  <w:footnote w:type="continuationNotice" w:id="1">
    <w:p w14:paraId="30BCC4C9" w14:textId="77777777" w:rsidR="00FE0C5D" w:rsidRDefault="00FE0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D958" w14:textId="5433B365" w:rsidR="00B47953" w:rsidRDefault="00B3468E" w:rsidP="008A068D">
    <w:pPr>
      <w:pStyle w:val="Header"/>
    </w:pPr>
    <w:r>
      <w:rPr>
        <w:noProof/>
      </w:rPr>
      <w:drawing>
        <wp:anchor distT="0" distB="0" distL="114300" distR="114300" simplePos="0" relativeHeight="251658246" behindDoc="0" locked="0" layoutInCell="1" allowOverlap="1" wp14:anchorId="5E76034E" wp14:editId="62E34B3E">
          <wp:simplePos x="0" y="0"/>
          <wp:positionH relativeFrom="column">
            <wp:posOffset>2138680</wp:posOffset>
          </wp:positionH>
          <wp:positionV relativeFrom="paragraph">
            <wp:posOffset>-85725</wp:posOffset>
          </wp:positionV>
          <wp:extent cx="4685030" cy="510540"/>
          <wp:effectExtent l="0" t="0" r="0" b="0"/>
          <wp:wrapThrough wrapText="bothSides">
            <wp:wrapPolygon edited="0">
              <wp:start x="0" y="0"/>
              <wp:lineTo x="0" y="18537"/>
              <wp:lineTo x="5445" y="18537"/>
              <wp:lineTo x="18093" y="16119"/>
              <wp:lineTo x="18005" y="14507"/>
              <wp:lineTo x="21167" y="9672"/>
              <wp:lineTo x="20903" y="3224"/>
              <wp:lineTo x="5445" y="0"/>
              <wp:lineTo x="0" y="0"/>
            </wp:wrapPolygon>
          </wp:wrapThrough>
          <wp:docPr id="447986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03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073EFFAE" w:rsidR="001C5F1D" w:rsidRPr="00685134" w:rsidRDefault="001C5F1D" w:rsidP="0068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D2CA"/>
    <w:multiLevelType w:val="hybridMultilevel"/>
    <w:tmpl w:val="0C0EDA9E"/>
    <w:lvl w:ilvl="0" w:tplc="6FAEDAF4">
      <w:start w:val="1"/>
      <w:numFmt w:val="upperRoman"/>
      <w:lvlText w:val="%1."/>
      <w:lvlJc w:val="right"/>
      <w:pPr>
        <w:ind w:left="1440" w:hanging="360"/>
      </w:pPr>
    </w:lvl>
    <w:lvl w:ilvl="1" w:tplc="654695B2">
      <w:start w:val="1"/>
      <w:numFmt w:val="lowerLetter"/>
      <w:lvlText w:val="%2."/>
      <w:lvlJc w:val="left"/>
      <w:pPr>
        <w:ind w:left="2160" w:hanging="360"/>
      </w:pPr>
    </w:lvl>
    <w:lvl w:ilvl="2" w:tplc="58925D20">
      <w:start w:val="1"/>
      <w:numFmt w:val="lowerRoman"/>
      <w:lvlText w:val="%3."/>
      <w:lvlJc w:val="right"/>
      <w:pPr>
        <w:ind w:left="2880" w:hanging="180"/>
      </w:pPr>
    </w:lvl>
    <w:lvl w:ilvl="3" w:tplc="0870EDA4">
      <w:start w:val="1"/>
      <w:numFmt w:val="decimal"/>
      <w:lvlText w:val="%4."/>
      <w:lvlJc w:val="left"/>
      <w:pPr>
        <w:ind w:left="3600" w:hanging="360"/>
      </w:pPr>
    </w:lvl>
    <w:lvl w:ilvl="4" w:tplc="3E7C6BFA">
      <w:start w:val="1"/>
      <w:numFmt w:val="lowerLetter"/>
      <w:lvlText w:val="%5."/>
      <w:lvlJc w:val="left"/>
      <w:pPr>
        <w:ind w:left="4320" w:hanging="360"/>
      </w:pPr>
    </w:lvl>
    <w:lvl w:ilvl="5" w:tplc="D5DE1F60">
      <w:start w:val="1"/>
      <w:numFmt w:val="lowerRoman"/>
      <w:lvlText w:val="%6."/>
      <w:lvlJc w:val="right"/>
      <w:pPr>
        <w:ind w:left="5040" w:hanging="180"/>
      </w:pPr>
    </w:lvl>
    <w:lvl w:ilvl="6" w:tplc="E9146882">
      <w:start w:val="1"/>
      <w:numFmt w:val="decimal"/>
      <w:lvlText w:val="%7."/>
      <w:lvlJc w:val="left"/>
      <w:pPr>
        <w:ind w:left="5760" w:hanging="360"/>
      </w:pPr>
    </w:lvl>
    <w:lvl w:ilvl="7" w:tplc="D32AAB64">
      <w:start w:val="1"/>
      <w:numFmt w:val="lowerLetter"/>
      <w:lvlText w:val="%8."/>
      <w:lvlJc w:val="left"/>
      <w:pPr>
        <w:ind w:left="6480" w:hanging="360"/>
      </w:pPr>
    </w:lvl>
    <w:lvl w:ilvl="8" w:tplc="C04827E0">
      <w:start w:val="1"/>
      <w:numFmt w:val="lowerRoman"/>
      <w:lvlText w:val="%9."/>
      <w:lvlJc w:val="right"/>
      <w:pPr>
        <w:ind w:left="7200" w:hanging="180"/>
      </w:pPr>
    </w:lvl>
  </w:abstractNum>
  <w:abstractNum w:abstractNumId="1" w15:restartNumberingAfterBreak="0">
    <w:nsid w:val="038A741A"/>
    <w:multiLevelType w:val="hybridMultilevel"/>
    <w:tmpl w:val="936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94AC7"/>
    <w:multiLevelType w:val="hybridMultilevel"/>
    <w:tmpl w:val="FB20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455F5"/>
    <w:multiLevelType w:val="hybridMultilevel"/>
    <w:tmpl w:val="A6DE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4293F"/>
    <w:multiLevelType w:val="hybridMultilevel"/>
    <w:tmpl w:val="317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67218"/>
    <w:multiLevelType w:val="hybridMultilevel"/>
    <w:tmpl w:val="95A8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10F83"/>
    <w:multiLevelType w:val="multilevel"/>
    <w:tmpl w:val="A3DE004E"/>
    <w:lvl w:ilvl="0">
      <w:start w:val="1"/>
      <w:numFmt w:val="decimal"/>
      <w:lvlText w:val="%1."/>
      <w:lvlJc w:val="left"/>
      <w:pPr>
        <w:ind w:left="360" w:hanging="360"/>
      </w:pPr>
      <w:rPr>
        <w:color w:val="000000"/>
      </w:rPr>
    </w:lvl>
    <w:lvl w:ilvl="1">
      <w:start w:val="1"/>
      <w:numFmt w:val="decimal"/>
      <w:lvlText w:val="%1.%2."/>
      <w:lvlJc w:val="left"/>
      <w:pPr>
        <w:ind w:left="792" w:hanging="432"/>
      </w:pPr>
      <w:rPr>
        <w:b w:val="0"/>
      </w:rPr>
    </w:lvl>
    <w:lvl w:ilvl="2">
      <w:start w:val="1"/>
      <w:numFmt w:val="decimal"/>
      <w:lvlText w:val="%1.%2.%3."/>
      <w:lvlJc w:val="left"/>
      <w:pPr>
        <w:ind w:left="4332"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323BF"/>
    <w:multiLevelType w:val="hybridMultilevel"/>
    <w:tmpl w:val="35F66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B2EDD"/>
    <w:multiLevelType w:val="hybridMultilevel"/>
    <w:tmpl w:val="0B1E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90609"/>
    <w:multiLevelType w:val="multilevel"/>
    <w:tmpl w:val="9D60F2D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131F4F"/>
    <w:multiLevelType w:val="hybridMultilevel"/>
    <w:tmpl w:val="AB7EB22C"/>
    <w:lvl w:ilvl="0" w:tplc="6EB0B056">
      <w:start w:val="1"/>
      <w:numFmt w:val="decimal"/>
      <w:lvlText w:val="%1."/>
      <w:lvlJc w:val="left"/>
      <w:pPr>
        <w:ind w:left="4187"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A7D519"/>
    <w:multiLevelType w:val="hybridMultilevel"/>
    <w:tmpl w:val="07F82C50"/>
    <w:lvl w:ilvl="0" w:tplc="473AEDAA">
      <w:start w:val="1"/>
      <w:numFmt w:val="lowerLetter"/>
      <w:lvlText w:val="%1."/>
      <w:lvlJc w:val="left"/>
      <w:pPr>
        <w:ind w:left="720" w:hanging="360"/>
      </w:pPr>
    </w:lvl>
    <w:lvl w:ilvl="1" w:tplc="259AF086">
      <w:start w:val="1"/>
      <w:numFmt w:val="lowerLetter"/>
      <w:lvlText w:val="%2."/>
      <w:lvlJc w:val="left"/>
      <w:pPr>
        <w:ind w:left="1440" w:hanging="360"/>
      </w:pPr>
    </w:lvl>
    <w:lvl w:ilvl="2" w:tplc="0A384BA6">
      <w:start w:val="1"/>
      <w:numFmt w:val="lowerRoman"/>
      <w:lvlText w:val="%3."/>
      <w:lvlJc w:val="right"/>
      <w:pPr>
        <w:ind w:left="2160" w:hanging="180"/>
      </w:pPr>
    </w:lvl>
    <w:lvl w:ilvl="3" w:tplc="98489DA2">
      <w:start w:val="1"/>
      <w:numFmt w:val="decimal"/>
      <w:lvlText w:val="%4."/>
      <w:lvlJc w:val="left"/>
      <w:pPr>
        <w:ind w:left="2880" w:hanging="360"/>
      </w:pPr>
    </w:lvl>
    <w:lvl w:ilvl="4" w:tplc="F438A752">
      <w:start w:val="1"/>
      <w:numFmt w:val="lowerLetter"/>
      <w:lvlText w:val="%5."/>
      <w:lvlJc w:val="left"/>
      <w:pPr>
        <w:ind w:left="3600" w:hanging="360"/>
      </w:pPr>
    </w:lvl>
    <w:lvl w:ilvl="5" w:tplc="724AF032">
      <w:start w:val="1"/>
      <w:numFmt w:val="lowerRoman"/>
      <w:lvlText w:val="%6."/>
      <w:lvlJc w:val="right"/>
      <w:pPr>
        <w:ind w:left="4320" w:hanging="180"/>
      </w:pPr>
    </w:lvl>
    <w:lvl w:ilvl="6" w:tplc="53DA6942">
      <w:start w:val="1"/>
      <w:numFmt w:val="decimal"/>
      <w:lvlText w:val="%7."/>
      <w:lvlJc w:val="left"/>
      <w:pPr>
        <w:ind w:left="5040" w:hanging="360"/>
      </w:pPr>
    </w:lvl>
    <w:lvl w:ilvl="7" w:tplc="7BBEB7E6">
      <w:start w:val="1"/>
      <w:numFmt w:val="lowerLetter"/>
      <w:lvlText w:val="%8."/>
      <w:lvlJc w:val="left"/>
      <w:pPr>
        <w:ind w:left="5760" w:hanging="360"/>
      </w:pPr>
    </w:lvl>
    <w:lvl w:ilvl="8" w:tplc="7E2AA954">
      <w:start w:val="1"/>
      <w:numFmt w:val="lowerRoman"/>
      <w:lvlText w:val="%9."/>
      <w:lvlJc w:val="right"/>
      <w:pPr>
        <w:ind w:left="6480" w:hanging="180"/>
      </w:pPr>
    </w:lvl>
  </w:abstractNum>
  <w:abstractNum w:abstractNumId="13" w15:restartNumberingAfterBreak="0">
    <w:nsid w:val="5C365833"/>
    <w:multiLevelType w:val="hybridMultilevel"/>
    <w:tmpl w:val="AC84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2360FC"/>
    <w:multiLevelType w:val="hybridMultilevel"/>
    <w:tmpl w:val="C6AC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62721A"/>
    <w:multiLevelType w:val="hybridMultilevel"/>
    <w:tmpl w:val="40683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19F34D4"/>
    <w:multiLevelType w:val="hybridMultilevel"/>
    <w:tmpl w:val="F064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625B5"/>
    <w:multiLevelType w:val="hybridMultilevel"/>
    <w:tmpl w:val="42C4D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84EF3"/>
    <w:multiLevelType w:val="hybridMultilevel"/>
    <w:tmpl w:val="FA8E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8363A"/>
    <w:multiLevelType w:val="hybridMultilevel"/>
    <w:tmpl w:val="2196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06941"/>
    <w:multiLevelType w:val="hybridMultilevel"/>
    <w:tmpl w:val="777E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FA65D75"/>
    <w:multiLevelType w:val="hybridMultilevel"/>
    <w:tmpl w:val="50C02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D27903"/>
    <w:multiLevelType w:val="hybridMultilevel"/>
    <w:tmpl w:val="4B7C6838"/>
    <w:lvl w:ilvl="0" w:tplc="B97A0F20">
      <w:start w:val="1"/>
      <w:numFmt w:val="bullet"/>
      <w:lvlText w:val=""/>
      <w:lvlJc w:val="left"/>
      <w:pPr>
        <w:ind w:left="720" w:hanging="360"/>
      </w:pPr>
      <w:rPr>
        <w:rFonts w:ascii="Symbol" w:hAnsi="Symbol" w:hint="default"/>
      </w:rPr>
    </w:lvl>
    <w:lvl w:ilvl="1" w:tplc="B4F0FF64">
      <w:start w:val="1"/>
      <w:numFmt w:val="bullet"/>
      <w:lvlText w:val="o"/>
      <w:lvlJc w:val="left"/>
      <w:pPr>
        <w:ind w:left="1440" w:hanging="360"/>
      </w:pPr>
      <w:rPr>
        <w:rFonts w:ascii="Courier New" w:hAnsi="Courier New" w:hint="default"/>
      </w:rPr>
    </w:lvl>
    <w:lvl w:ilvl="2" w:tplc="5FF0ED46">
      <w:start w:val="1"/>
      <w:numFmt w:val="bullet"/>
      <w:lvlText w:val=""/>
      <w:lvlJc w:val="left"/>
      <w:pPr>
        <w:ind w:left="2160" w:hanging="360"/>
      </w:pPr>
      <w:rPr>
        <w:rFonts w:ascii="Wingdings" w:hAnsi="Wingdings" w:hint="default"/>
      </w:rPr>
    </w:lvl>
    <w:lvl w:ilvl="3" w:tplc="3B627B0A">
      <w:start w:val="1"/>
      <w:numFmt w:val="bullet"/>
      <w:lvlText w:val=""/>
      <w:lvlJc w:val="left"/>
      <w:pPr>
        <w:ind w:left="2880" w:hanging="360"/>
      </w:pPr>
      <w:rPr>
        <w:rFonts w:ascii="Symbol" w:hAnsi="Symbol" w:hint="default"/>
      </w:rPr>
    </w:lvl>
    <w:lvl w:ilvl="4" w:tplc="9C9ED448">
      <w:start w:val="1"/>
      <w:numFmt w:val="bullet"/>
      <w:lvlText w:val="o"/>
      <w:lvlJc w:val="left"/>
      <w:pPr>
        <w:ind w:left="3600" w:hanging="360"/>
      </w:pPr>
      <w:rPr>
        <w:rFonts w:ascii="Courier New" w:hAnsi="Courier New" w:hint="default"/>
      </w:rPr>
    </w:lvl>
    <w:lvl w:ilvl="5" w:tplc="82881372">
      <w:start w:val="1"/>
      <w:numFmt w:val="bullet"/>
      <w:lvlText w:val=""/>
      <w:lvlJc w:val="left"/>
      <w:pPr>
        <w:ind w:left="4320" w:hanging="360"/>
      </w:pPr>
      <w:rPr>
        <w:rFonts w:ascii="Wingdings" w:hAnsi="Wingdings" w:hint="default"/>
      </w:rPr>
    </w:lvl>
    <w:lvl w:ilvl="6" w:tplc="451A431E">
      <w:start w:val="1"/>
      <w:numFmt w:val="bullet"/>
      <w:lvlText w:val=""/>
      <w:lvlJc w:val="left"/>
      <w:pPr>
        <w:ind w:left="5040" w:hanging="360"/>
      </w:pPr>
      <w:rPr>
        <w:rFonts w:ascii="Symbol" w:hAnsi="Symbol" w:hint="default"/>
      </w:rPr>
    </w:lvl>
    <w:lvl w:ilvl="7" w:tplc="5F687BD8">
      <w:start w:val="1"/>
      <w:numFmt w:val="bullet"/>
      <w:lvlText w:val="o"/>
      <w:lvlJc w:val="left"/>
      <w:pPr>
        <w:ind w:left="5760" w:hanging="360"/>
      </w:pPr>
      <w:rPr>
        <w:rFonts w:ascii="Courier New" w:hAnsi="Courier New" w:hint="default"/>
      </w:rPr>
    </w:lvl>
    <w:lvl w:ilvl="8" w:tplc="7D2214A6">
      <w:start w:val="1"/>
      <w:numFmt w:val="bullet"/>
      <w:lvlText w:val=""/>
      <w:lvlJc w:val="left"/>
      <w:pPr>
        <w:ind w:left="6480" w:hanging="360"/>
      </w:pPr>
      <w:rPr>
        <w:rFonts w:ascii="Wingdings" w:hAnsi="Wingdings" w:hint="default"/>
      </w:rPr>
    </w:lvl>
  </w:abstractNum>
  <w:num w:numId="1" w16cid:durableId="556891000">
    <w:abstractNumId w:val="14"/>
  </w:num>
  <w:num w:numId="2" w16cid:durableId="765346724">
    <w:abstractNumId w:val="24"/>
  </w:num>
  <w:num w:numId="3" w16cid:durableId="100490585">
    <w:abstractNumId w:val="18"/>
  </w:num>
  <w:num w:numId="4" w16cid:durableId="878905163">
    <w:abstractNumId w:val="16"/>
  </w:num>
  <w:num w:numId="5" w16cid:durableId="1996716330">
    <w:abstractNumId w:val="11"/>
  </w:num>
  <w:num w:numId="6" w16cid:durableId="1975795062">
    <w:abstractNumId w:val="8"/>
  </w:num>
  <w:num w:numId="7" w16cid:durableId="1291129150">
    <w:abstractNumId w:val="10"/>
  </w:num>
  <w:num w:numId="8" w16cid:durableId="928268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0795863">
    <w:abstractNumId w:val="7"/>
  </w:num>
  <w:num w:numId="10" w16cid:durableId="1143084385">
    <w:abstractNumId w:val="25"/>
  </w:num>
  <w:num w:numId="11" w16cid:durableId="1782336292">
    <w:abstractNumId w:val="0"/>
  </w:num>
  <w:num w:numId="12" w16cid:durableId="1836263311">
    <w:abstractNumId w:val="12"/>
  </w:num>
  <w:num w:numId="13" w16cid:durableId="2030329885">
    <w:abstractNumId w:val="26"/>
  </w:num>
  <w:num w:numId="14" w16cid:durableId="1842282565">
    <w:abstractNumId w:val="20"/>
  </w:num>
  <w:num w:numId="15" w16cid:durableId="2076973283">
    <w:abstractNumId w:val="17"/>
  </w:num>
  <w:num w:numId="16" w16cid:durableId="1610116021">
    <w:abstractNumId w:val="15"/>
  </w:num>
  <w:num w:numId="17" w16cid:durableId="563872749">
    <w:abstractNumId w:val="9"/>
  </w:num>
  <w:num w:numId="18" w16cid:durableId="238640030">
    <w:abstractNumId w:val="22"/>
  </w:num>
  <w:num w:numId="19" w16cid:durableId="66652423">
    <w:abstractNumId w:val="1"/>
  </w:num>
  <w:num w:numId="20" w16cid:durableId="1241527372">
    <w:abstractNumId w:val="21"/>
  </w:num>
  <w:num w:numId="21" w16cid:durableId="2015692663">
    <w:abstractNumId w:val="5"/>
  </w:num>
  <w:num w:numId="22" w16cid:durableId="70352603">
    <w:abstractNumId w:val="13"/>
  </w:num>
  <w:num w:numId="23" w16cid:durableId="853570531">
    <w:abstractNumId w:val="2"/>
  </w:num>
  <w:num w:numId="24" w16cid:durableId="1798525716">
    <w:abstractNumId w:val="23"/>
  </w:num>
  <w:num w:numId="25" w16cid:durableId="1997026960">
    <w:abstractNumId w:val="19"/>
  </w:num>
  <w:num w:numId="26" w16cid:durableId="1791438917">
    <w:abstractNumId w:val="3"/>
  </w:num>
  <w:num w:numId="27" w16cid:durableId="10286772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B52"/>
    <w:rsid w:val="00002A64"/>
    <w:rsid w:val="00002F8B"/>
    <w:rsid w:val="0000355D"/>
    <w:rsid w:val="0000446D"/>
    <w:rsid w:val="000114CA"/>
    <w:rsid w:val="00014CDC"/>
    <w:rsid w:val="000154F5"/>
    <w:rsid w:val="000155FE"/>
    <w:rsid w:val="00016D14"/>
    <w:rsid w:val="00016E39"/>
    <w:rsid w:val="000178D0"/>
    <w:rsid w:val="000209D6"/>
    <w:rsid w:val="000215BB"/>
    <w:rsid w:val="0002212E"/>
    <w:rsid w:val="000259CE"/>
    <w:rsid w:val="00031EBB"/>
    <w:rsid w:val="00032597"/>
    <w:rsid w:val="00032A31"/>
    <w:rsid w:val="000334D5"/>
    <w:rsid w:val="00033CD1"/>
    <w:rsid w:val="00033E0F"/>
    <w:rsid w:val="000344AA"/>
    <w:rsid w:val="000349F1"/>
    <w:rsid w:val="00034ACA"/>
    <w:rsid w:val="000359F9"/>
    <w:rsid w:val="00035B8C"/>
    <w:rsid w:val="00037312"/>
    <w:rsid w:val="00040750"/>
    <w:rsid w:val="00041CB5"/>
    <w:rsid w:val="00043FC8"/>
    <w:rsid w:val="000455BD"/>
    <w:rsid w:val="00046BFC"/>
    <w:rsid w:val="00046E7A"/>
    <w:rsid w:val="00046F03"/>
    <w:rsid w:val="00050366"/>
    <w:rsid w:val="000513BA"/>
    <w:rsid w:val="00053D2F"/>
    <w:rsid w:val="0006182B"/>
    <w:rsid w:val="00066ABC"/>
    <w:rsid w:val="000744CA"/>
    <w:rsid w:val="00074A8E"/>
    <w:rsid w:val="00074BC1"/>
    <w:rsid w:val="000758E0"/>
    <w:rsid w:val="00075D44"/>
    <w:rsid w:val="0007780E"/>
    <w:rsid w:val="00080A2F"/>
    <w:rsid w:val="00082BDE"/>
    <w:rsid w:val="0008419C"/>
    <w:rsid w:val="000846C3"/>
    <w:rsid w:val="00084DC9"/>
    <w:rsid w:val="00084F5A"/>
    <w:rsid w:val="00085040"/>
    <w:rsid w:val="00086B14"/>
    <w:rsid w:val="00091B9B"/>
    <w:rsid w:val="00092A59"/>
    <w:rsid w:val="00094BC5"/>
    <w:rsid w:val="000976E8"/>
    <w:rsid w:val="000A042D"/>
    <w:rsid w:val="000A55A1"/>
    <w:rsid w:val="000A6797"/>
    <w:rsid w:val="000A6DCF"/>
    <w:rsid w:val="000B007E"/>
    <w:rsid w:val="000B263F"/>
    <w:rsid w:val="000B2A04"/>
    <w:rsid w:val="000B7B7E"/>
    <w:rsid w:val="000C0FC6"/>
    <w:rsid w:val="000C3285"/>
    <w:rsid w:val="000D05CC"/>
    <w:rsid w:val="000D2562"/>
    <w:rsid w:val="000D3323"/>
    <w:rsid w:val="000D47FE"/>
    <w:rsid w:val="000D4DEF"/>
    <w:rsid w:val="000D62EF"/>
    <w:rsid w:val="000D6407"/>
    <w:rsid w:val="000D7F74"/>
    <w:rsid w:val="000E0299"/>
    <w:rsid w:val="000E36AD"/>
    <w:rsid w:val="000E6433"/>
    <w:rsid w:val="000E66ED"/>
    <w:rsid w:val="000E6E47"/>
    <w:rsid w:val="000F2557"/>
    <w:rsid w:val="000F2971"/>
    <w:rsid w:val="000F2B9B"/>
    <w:rsid w:val="000F2FCD"/>
    <w:rsid w:val="000F3181"/>
    <w:rsid w:val="000F375B"/>
    <w:rsid w:val="000F5841"/>
    <w:rsid w:val="000F6CDF"/>
    <w:rsid w:val="00101071"/>
    <w:rsid w:val="00101BB9"/>
    <w:rsid w:val="00102BF8"/>
    <w:rsid w:val="00104F85"/>
    <w:rsid w:val="00106D51"/>
    <w:rsid w:val="00106E2A"/>
    <w:rsid w:val="00110878"/>
    <w:rsid w:val="0011207E"/>
    <w:rsid w:val="00112E2D"/>
    <w:rsid w:val="00114581"/>
    <w:rsid w:val="001151C6"/>
    <w:rsid w:val="00115C26"/>
    <w:rsid w:val="00117B5C"/>
    <w:rsid w:val="00117F54"/>
    <w:rsid w:val="001206C9"/>
    <w:rsid w:val="0012183E"/>
    <w:rsid w:val="001240EE"/>
    <w:rsid w:val="0012416B"/>
    <w:rsid w:val="0012675C"/>
    <w:rsid w:val="00133337"/>
    <w:rsid w:val="001339EE"/>
    <w:rsid w:val="00140AAC"/>
    <w:rsid w:val="00140C1B"/>
    <w:rsid w:val="001410FA"/>
    <w:rsid w:val="00142A5A"/>
    <w:rsid w:val="001434A2"/>
    <w:rsid w:val="00144A55"/>
    <w:rsid w:val="0014599B"/>
    <w:rsid w:val="00146FFE"/>
    <w:rsid w:val="00153566"/>
    <w:rsid w:val="0015587B"/>
    <w:rsid w:val="0015589A"/>
    <w:rsid w:val="00156207"/>
    <w:rsid w:val="00160CD8"/>
    <w:rsid w:val="00170C6F"/>
    <w:rsid w:val="00172641"/>
    <w:rsid w:val="00180666"/>
    <w:rsid w:val="0018090F"/>
    <w:rsid w:val="00181AAF"/>
    <w:rsid w:val="0018367F"/>
    <w:rsid w:val="00183F37"/>
    <w:rsid w:val="00184F5B"/>
    <w:rsid w:val="0018563A"/>
    <w:rsid w:val="00190CC6"/>
    <w:rsid w:val="001920A1"/>
    <w:rsid w:val="001922ED"/>
    <w:rsid w:val="00194EC6"/>
    <w:rsid w:val="00195CA7"/>
    <w:rsid w:val="001A05BB"/>
    <w:rsid w:val="001A5F90"/>
    <w:rsid w:val="001A6879"/>
    <w:rsid w:val="001B11AD"/>
    <w:rsid w:val="001B24A5"/>
    <w:rsid w:val="001B7722"/>
    <w:rsid w:val="001B7FC4"/>
    <w:rsid w:val="001C146E"/>
    <w:rsid w:val="001C1C09"/>
    <w:rsid w:val="001C4AE5"/>
    <w:rsid w:val="001C550D"/>
    <w:rsid w:val="001C5F1D"/>
    <w:rsid w:val="001C6076"/>
    <w:rsid w:val="001C64AF"/>
    <w:rsid w:val="001D0254"/>
    <w:rsid w:val="001D2378"/>
    <w:rsid w:val="001D3477"/>
    <w:rsid w:val="001D5311"/>
    <w:rsid w:val="001D5839"/>
    <w:rsid w:val="001D5B62"/>
    <w:rsid w:val="001D5D99"/>
    <w:rsid w:val="001D61A1"/>
    <w:rsid w:val="001E12C6"/>
    <w:rsid w:val="001E2229"/>
    <w:rsid w:val="001E3713"/>
    <w:rsid w:val="001E3D8E"/>
    <w:rsid w:val="001E496C"/>
    <w:rsid w:val="001E509A"/>
    <w:rsid w:val="001E5C69"/>
    <w:rsid w:val="001F22E0"/>
    <w:rsid w:val="00202585"/>
    <w:rsid w:val="002039BF"/>
    <w:rsid w:val="002107B6"/>
    <w:rsid w:val="00211137"/>
    <w:rsid w:val="002147DD"/>
    <w:rsid w:val="002147FB"/>
    <w:rsid w:val="00215280"/>
    <w:rsid w:val="00220792"/>
    <w:rsid w:val="00221E59"/>
    <w:rsid w:val="00222C22"/>
    <w:rsid w:val="00222CCC"/>
    <w:rsid w:val="00223DD4"/>
    <w:rsid w:val="00224CE8"/>
    <w:rsid w:val="002320D6"/>
    <w:rsid w:val="002351D4"/>
    <w:rsid w:val="0023520B"/>
    <w:rsid w:val="002359DF"/>
    <w:rsid w:val="00237547"/>
    <w:rsid w:val="00237614"/>
    <w:rsid w:val="00240EAF"/>
    <w:rsid w:val="00241147"/>
    <w:rsid w:val="00241B29"/>
    <w:rsid w:val="00245E6F"/>
    <w:rsid w:val="00251AC1"/>
    <w:rsid w:val="002528E2"/>
    <w:rsid w:val="002531E9"/>
    <w:rsid w:val="00253A67"/>
    <w:rsid w:val="002549CA"/>
    <w:rsid w:val="00256FE5"/>
    <w:rsid w:val="00257E13"/>
    <w:rsid w:val="00257FCE"/>
    <w:rsid w:val="002615D4"/>
    <w:rsid w:val="002628E5"/>
    <w:rsid w:val="00264DAA"/>
    <w:rsid w:val="0026508A"/>
    <w:rsid w:val="00267396"/>
    <w:rsid w:val="00267AB6"/>
    <w:rsid w:val="00273634"/>
    <w:rsid w:val="00274093"/>
    <w:rsid w:val="002760DD"/>
    <w:rsid w:val="00281D88"/>
    <w:rsid w:val="00285078"/>
    <w:rsid w:val="002860C1"/>
    <w:rsid w:val="002872D8"/>
    <w:rsid w:val="00290B13"/>
    <w:rsid w:val="002912AD"/>
    <w:rsid w:val="00292E3C"/>
    <w:rsid w:val="00293180"/>
    <w:rsid w:val="0029365F"/>
    <w:rsid w:val="002A3CCB"/>
    <w:rsid w:val="002A54DB"/>
    <w:rsid w:val="002A7E9E"/>
    <w:rsid w:val="002B2468"/>
    <w:rsid w:val="002B3D9E"/>
    <w:rsid w:val="002B4971"/>
    <w:rsid w:val="002B5517"/>
    <w:rsid w:val="002C710C"/>
    <w:rsid w:val="002C7207"/>
    <w:rsid w:val="002D113A"/>
    <w:rsid w:val="002D11FD"/>
    <w:rsid w:val="002D1803"/>
    <w:rsid w:val="002D257E"/>
    <w:rsid w:val="002D433F"/>
    <w:rsid w:val="002D4CA0"/>
    <w:rsid w:val="002D5063"/>
    <w:rsid w:val="002D5E49"/>
    <w:rsid w:val="002E2C1C"/>
    <w:rsid w:val="002E3059"/>
    <w:rsid w:val="002E3CFA"/>
    <w:rsid w:val="002E5383"/>
    <w:rsid w:val="002E53E5"/>
    <w:rsid w:val="002E6B51"/>
    <w:rsid w:val="002F0AA3"/>
    <w:rsid w:val="002F4A43"/>
    <w:rsid w:val="002F6949"/>
    <w:rsid w:val="002F7903"/>
    <w:rsid w:val="003102C0"/>
    <w:rsid w:val="00311924"/>
    <w:rsid w:val="003126A3"/>
    <w:rsid w:val="00313D6F"/>
    <w:rsid w:val="00321A5B"/>
    <w:rsid w:val="00332B1A"/>
    <w:rsid w:val="00334403"/>
    <w:rsid w:val="003352F5"/>
    <w:rsid w:val="003426BC"/>
    <w:rsid w:val="00343A37"/>
    <w:rsid w:val="00343C70"/>
    <w:rsid w:val="00343F98"/>
    <w:rsid w:val="003463C0"/>
    <w:rsid w:val="00347099"/>
    <w:rsid w:val="00347A70"/>
    <w:rsid w:val="00352513"/>
    <w:rsid w:val="00353726"/>
    <w:rsid w:val="00353CA1"/>
    <w:rsid w:val="0035606E"/>
    <w:rsid w:val="00360F26"/>
    <w:rsid w:val="00360FFA"/>
    <w:rsid w:val="003634F0"/>
    <w:rsid w:val="00365B14"/>
    <w:rsid w:val="00365BEE"/>
    <w:rsid w:val="00365F97"/>
    <w:rsid w:val="003668AD"/>
    <w:rsid w:val="00366C51"/>
    <w:rsid w:val="00367257"/>
    <w:rsid w:val="00372465"/>
    <w:rsid w:val="003778BF"/>
    <w:rsid w:val="00380154"/>
    <w:rsid w:val="0038018F"/>
    <w:rsid w:val="003831AE"/>
    <w:rsid w:val="00384193"/>
    <w:rsid w:val="00386AA2"/>
    <w:rsid w:val="00386D18"/>
    <w:rsid w:val="00387681"/>
    <w:rsid w:val="00390A37"/>
    <w:rsid w:val="00395646"/>
    <w:rsid w:val="00395D8B"/>
    <w:rsid w:val="00396772"/>
    <w:rsid w:val="003A07D0"/>
    <w:rsid w:val="003A4F8F"/>
    <w:rsid w:val="003B30AD"/>
    <w:rsid w:val="003B3CAC"/>
    <w:rsid w:val="003B534A"/>
    <w:rsid w:val="003C633B"/>
    <w:rsid w:val="003C738B"/>
    <w:rsid w:val="003D49D5"/>
    <w:rsid w:val="003D5027"/>
    <w:rsid w:val="003D5696"/>
    <w:rsid w:val="003D7408"/>
    <w:rsid w:val="003D788A"/>
    <w:rsid w:val="003E0EF6"/>
    <w:rsid w:val="003E0FB3"/>
    <w:rsid w:val="003E1741"/>
    <w:rsid w:val="003E2BFE"/>
    <w:rsid w:val="003E3406"/>
    <w:rsid w:val="003E3D85"/>
    <w:rsid w:val="003E71B3"/>
    <w:rsid w:val="003F17F7"/>
    <w:rsid w:val="003F648F"/>
    <w:rsid w:val="003F6966"/>
    <w:rsid w:val="003F6A98"/>
    <w:rsid w:val="003F6CC0"/>
    <w:rsid w:val="00400348"/>
    <w:rsid w:val="004043A1"/>
    <w:rsid w:val="0040599D"/>
    <w:rsid w:val="0040682E"/>
    <w:rsid w:val="00407462"/>
    <w:rsid w:val="00412380"/>
    <w:rsid w:val="004139C8"/>
    <w:rsid w:val="004161E1"/>
    <w:rsid w:val="00416D0E"/>
    <w:rsid w:val="004232F4"/>
    <w:rsid w:val="004251E5"/>
    <w:rsid w:val="00426431"/>
    <w:rsid w:val="00426CDA"/>
    <w:rsid w:val="0043104B"/>
    <w:rsid w:val="00431CD2"/>
    <w:rsid w:val="0043216C"/>
    <w:rsid w:val="004342AE"/>
    <w:rsid w:val="00434DCD"/>
    <w:rsid w:val="00440A6F"/>
    <w:rsid w:val="00441AF2"/>
    <w:rsid w:val="00441FA5"/>
    <w:rsid w:val="004447C6"/>
    <w:rsid w:val="00444FBF"/>
    <w:rsid w:val="00446DEF"/>
    <w:rsid w:val="00450AD0"/>
    <w:rsid w:val="0045208A"/>
    <w:rsid w:val="00452DC5"/>
    <w:rsid w:val="00454B39"/>
    <w:rsid w:val="004553B7"/>
    <w:rsid w:val="00455C20"/>
    <w:rsid w:val="0045660E"/>
    <w:rsid w:val="00460BAC"/>
    <w:rsid w:val="00462343"/>
    <w:rsid w:val="00462B41"/>
    <w:rsid w:val="00463BD1"/>
    <w:rsid w:val="00465118"/>
    <w:rsid w:val="00465D14"/>
    <w:rsid w:val="004676C1"/>
    <w:rsid w:val="004707CC"/>
    <w:rsid w:val="00470B13"/>
    <w:rsid w:val="004722A7"/>
    <w:rsid w:val="00472B5B"/>
    <w:rsid w:val="0047408F"/>
    <w:rsid w:val="00476625"/>
    <w:rsid w:val="004767AC"/>
    <w:rsid w:val="004774B8"/>
    <w:rsid w:val="0047795E"/>
    <w:rsid w:val="004802AB"/>
    <w:rsid w:val="00480568"/>
    <w:rsid w:val="00481AED"/>
    <w:rsid w:val="0048307A"/>
    <w:rsid w:val="004834B5"/>
    <w:rsid w:val="00484A5E"/>
    <w:rsid w:val="0048666B"/>
    <w:rsid w:val="00491579"/>
    <w:rsid w:val="00493867"/>
    <w:rsid w:val="0049612A"/>
    <w:rsid w:val="00496B7C"/>
    <w:rsid w:val="00496FE0"/>
    <w:rsid w:val="004972A9"/>
    <w:rsid w:val="004A1C8E"/>
    <w:rsid w:val="004A2DE9"/>
    <w:rsid w:val="004A5958"/>
    <w:rsid w:val="004A5BF8"/>
    <w:rsid w:val="004B1212"/>
    <w:rsid w:val="004B68CF"/>
    <w:rsid w:val="004B749B"/>
    <w:rsid w:val="004B7C5E"/>
    <w:rsid w:val="004C009C"/>
    <w:rsid w:val="004C1664"/>
    <w:rsid w:val="004C5561"/>
    <w:rsid w:val="004C7923"/>
    <w:rsid w:val="004D0266"/>
    <w:rsid w:val="004D2E5F"/>
    <w:rsid w:val="004D3A4E"/>
    <w:rsid w:val="004D7094"/>
    <w:rsid w:val="004D7565"/>
    <w:rsid w:val="004E03CF"/>
    <w:rsid w:val="004E0A78"/>
    <w:rsid w:val="004E4575"/>
    <w:rsid w:val="004E53A5"/>
    <w:rsid w:val="004E67D8"/>
    <w:rsid w:val="004E76AE"/>
    <w:rsid w:val="004E7D03"/>
    <w:rsid w:val="004F061D"/>
    <w:rsid w:val="004F281F"/>
    <w:rsid w:val="004F29FC"/>
    <w:rsid w:val="004F2CD8"/>
    <w:rsid w:val="005054C1"/>
    <w:rsid w:val="005105B5"/>
    <w:rsid w:val="00512A03"/>
    <w:rsid w:val="0051320A"/>
    <w:rsid w:val="00513F71"/>
    <w:rsid w:val="00514639"/>
    <w:rsid w:val="00514717"/>
    <w:rsid w:val="005164F7"/>
    <w:rsid w:val="00517E78"/>
    <w:rsid w:val="00521374"/>
    <w:rsid w:val="00527DB4"/>
    <w:rsid w:val="00535FF4"/>
    <w:rsid w:val="00540109"/>
    <w:rsid w:val="005425E5"/>
    <w:rsid w:val="00544015"/>
    <w:rsid w:val="00544BC7"/>
    <w:rsid w:val="005475C5"/>
    <w:rsid w:val="00557EB3"/>
    <w:rsid w:val="0056152B"/>
    <w:rsid w:val="005636E7"/>
    <w:rsid w:val="00564EF6"/>
    <w:rsid w:val="0056748C"/>
    <w:rsid w:val="0057162C"/>
    <w:rsid w:val="00571961"/>
    <w:rsid w:val="005720A5"/>
    <w:rsid w:val="00574619"/>
    <w:rsid w:val="0057475A"/>
    <w:rsid w:val="005768FC"/>
    <w:rsid w:val="00580D9D"/>
    <w:rsid w:val="00582E13"/>
    <w:rsid w:val="00584168"/>
    <w:rsid w:val="005845EA"/>
    <w:rsid w:val="00587ABF"/>
    <w:rsid w:val="00591942"/>
    <w:rsid w:val="00593E35"/>
    <w:rsid w:val="005963DA"/>
    <w:rsid w:val="005A01E1"/>
    <w:rsid w:val="005A0246"/>
    <w:rsid w:val="005A18C9"/>
    <w:rsid w:val="005A3025"/>
    <w:rsid w:val="005A504C"/>
    <w:rsid w:val="005A598C"/>
    <w:rsid w:val="005A7F98"/>
    <w:rsid w:val="005B1E16"/>
    <w:rsid w:val="005B2973"/>
    <w:rsid w:val="005B42F7"/>
    <w:rsid w:val="005B536C"/>
    <w:rsid w:val="005B6F39"/>
    <w:rsid w:val="005B7F90"/>
    <w:rsid w:val="005C1D48"/>
    <w:rsid w:val="005C1E68"/>
    <w:rsid w:val="005C66CF"/>
    <w:rsid w:val="005C7748"/>
    <w:rsid w:val="005C7F87"/>
    <w:rsid w:val="005D11A6"/>
    <w:rsid w:val="005D16BE"/>
    <w:rsid w:val="005D446D"/>
    <w:rsid w:val="005D46DB"/>
    <w:rsid w:val="005E002C"/>
    <w:rsid w:val="005E17C8"/>
    <w:rsid w:val="005E216F"/>
    <w:rsid w:val="005E30DB"/>
    <w:rsid w:val="005E6E41"/>
    <w:rsid w:val="005E76F1"/>
    <w:rsid w:val="005F05FC"/>
    <w:rsid w:val="005F0A79"/>
    <w:rsid w:val="005F10D6"/>
    <w:rsid w:val="005F7F22"/>
    <w:rsid w:val="00601E77"/>
    <w:rsid w:val="006023B5"/>
    <w:rsid w:val="00604640"/>
    <w:rsid w:val="00605A14"/>
    <w:rsid w:val="006119E4"/>
    <w:rsid w:val="00611ABB"/>
    <w:rsid w:val="00612AE0"/>
    <w:rsid w:val="0061744B"/>
    <w:rsid w:val="00617608"/>
    <w:rsid w:val="00617C24"/>
    <w:rsid w:val="00621363"/>
    <w:rsid w:val="00624EEA"/>
    <w:rsid w:val="00625653"/>
    <w:rsid w:val="0063289B"/>
    <w:rsid w:val="00633D2B"/>
    <w:rsid w:val="00635953"/>
    <w:rsid w:val="006376AF"/>
    <w:rsid w:val="00643A7A"/>
    <w:rsid w:val="006448F5"/>
    <w:rsid w:val="00645A36"/>
    <w:rsid w:val="006460F3"/>
    <w:rsid w:val="006461CC"/>
    <w:rsid w:val="006530BF"/>
    <w:rsid w:val="00653447"/>
    <w:rsid w:val="00653B44"/>
    <w:rsid w:val="00655102"/>
    <w:rsid w:val="00661BC0"/>
    <w:rsid w:val="0066527D"/>
    <w:rsid w:val="006658BA"/>
    <w:rsid w:val="00670993"/>
    <w:rsid w:val="00675396"/>
    <w:rsid w:val="00675D8D"/>
    <w:rsid w:val="00677175"/>
    <w:rsid w:val="00680C2E"/>
    <w:rsid w:val="006834EC"/>
    <w:rsid w:val="006839FC"/>
    <w:rsid w:val="00685134"/>
    <w:rsid w:val="006904F8"/>
    <w:rsid w:val="006917FD"/>
    <w:rsid w:val="00692553"/>
    <w:rsid w:val="00692C6C"/>
    <w:rsid w:val="006932D7"/>
    <w:rsid w:val="00696046"/>
    <w:rsid w:val="00696334"/>
    <w:rsid w:val="006965BC"/>
    <w:rsid w:val="00696F92"/>
    <w:rsid w:val="006A18B2"/>
    <w:rsid w:val="006A1D16"/>
    <w:rsid w:val="006A3B19"/>
    <w:rsid w:val="006A5BC5"/>
    <w:rsid w:val="006B086A"/>
    <w:rsid w:val="006B092F"/>
    <w:rsid w:val="006B384F"/>
    <w:rsid w:val="006B4F55"/>
    <w:rsid w:val="006B6B05"/>
    <w:rsid w:val="006C2374"/>
    <w:rsid w:val="006C2DAD"/>
    <w:rsid w:val="006C3D5C"/>
    <w:rsid w:val="006C7F7B"/>
    <w:rsid w:val="006D06CC"/>
    <w:rsid w:val="006D2B63"/>
    <w:rsid w:val="006D424F"/>
    <w:rsid w:val="006E0741"/>
    <w:rsid w:val="006E0CE2"/>
    <w:rsid w:val="006E3B9E"/>
    <w:rsid w:val="006E5765"/>
    <w:rsid w:val="006F18F9"/>
    <w:rsid w:val="006F4334"/>
    <w:rsid w:val="006F5B40"/>
    <w:rsid w:val="006F5C6A"/>
    <w:rsid w:val="006F6101"/>
    <w:rsid w:val="006F72E3"/>
    <w:rsid w:val="007004F8"/>
    <w:rsid w:val="00702243"/>
    <w:rsid w:val="00704134"/>
    <w:rsid w:val="0070596D"/>
    <w:rsid w:val="00705FCD"/>
    <w:rsid w:val="007078F7"/>
    <w:rsid w:val="0071084F"/>
    <w:rsid w:val="00710BA2"/>
    <w:rsid w:val="00712F55"/>
    <w:rsid w:val="00716AD6"/>
    <w:rsid w:val="00716BDB"/>
    <w:rsid w:val="007170CE"/>
    <w:rsid w:val="00722034"/>
    <w:rsid w:val="00724D39"/>
    <w:rsid w:val="00725045"/>
    <w:rsid w:val="00725A9D"/>
    <w:rsid w:val="007268FF"/>
    <w:rsid w:val="007329F7"/>
    <w:rsid w:val="007339DA"/>
    <w:rsid w:val="00734BE2"/>
    <w:rsid w:val="00740432"/>
    <w:rsid w:val="00741884"/>
    <w:rsid w:val="00743588"/>
    <w:rsid w:val="007436DA"/>
    <w:rsid w:val="007445A4"/>
    <w:rsid w:val="007448DD"/>
    <w:rsid w:val="00746415"/>
    <w:rsid w:val="0075349F"/>
    <w:rsid w:val="00754808"/>
    <w:rsid w:val="00770687"/>
    <w:rsid w:val="0077218F"/>
    <w:rsid w:val="0077551F"/>
    <w:rsid w:val="0077566D"/>
    <w:rsid w:val="00776B46"/>
    <w:rsid w:val="007802F4"/>
    <w:rsid w:val="00781572"/>
    <w:rsid w:val="00786142"/>
    <w:rsid w:val="00786797"/>
    <w:rsid w:val="007872B2"/>
    <w:rsid w:val="00790725"/>
    <w:rsid w:val="00790FD9"/>
    <w:rsid w:val="0079134C"/>
    <w:rsid w:val="007919E7"/>
    <w:rsid w:val="007925BC"/>
    <w:rsid w:val="00793DE9"/>
    <w:rsid w:val="007977C4"/>
    <w:rsid w:val="00797EE1"/>
    <w:rsid w:val="007A0508"/>
    <w:rsid w:val="007A1667"/>
    <w:rsid w:val="007A2844"/>
    <w:rsid w:val="007A2A2C"/>
    <w:rsid w:val="007A462E"/>
    <w:rsid w:val="007A6091"/>
    <w:rsid w:val="007A789D"/>
    <w:rsid w:val="007B196F"/>
    <w:rsid w:val="007B4364"/>
    <w:rsid w:val="007B461F"/>
    <w:rsid w:val="007B5771"/>
    <w:rsid w:val="007C083A"/>
    <w:rsid w:val="007C635E"/>
    <w:rsid w:val="007C6699"/>
    <w:rsid w:val="007C72BB"/>
    <w:rsid w:val="007D0F49"/>
    <w:rsid w:val="007D2F53"/>
    <w:rsid w:val="007E0235"/>
    <w:rsid w:val="007E0C82"/>
    <w:rsid w:val="007E3873"/>
    <w:rsid w:val="007E3B65"/>
    <w:rsid w:val="007E7526"/>
    <w:rsid w:val="007F359A"/>
    <w:rsid w:val="008012B0"/>
    <w:rsid w:val="00804624"/>
    <w:rsid w:val="00810215"/>
    <w:rsid w:val="00810C49"/>
    <w:rsid w:val="008121B6"/>
    <w:rsid w:val="008150E4"/>
    <w:rsid w:val="0081723D"/>
    <w:rsid w:val="0082066C"/>
    <w:rsid w:val="008216CE"/>
    <w:rsid w:val="00822264"/>
    <w:rsid w:val="00822551"/>
    <w:rsid w:val="00823257"/>
    <w:rsid w:val="00831045"/>
    <w:rsid w:val="0083154B"/>
    <w:rsid w:val="0083185E"/>
    <w:rsid w:val="0083458E"/>
    <w:rsid w:val="00835A7A"/>
    <w:rsid w:val="00836F00"/>
    <w:rsid w:val="00841EE8"/>
    <w:rsid w:val="00843DF4"/>
    <w:rsid w:val="00844966"/>
    <w:rsid w:val="00845A54"/>
    <w:rsid w:val="0085425F"/>
    <w:rsid w:val="0085672A"/>
    <w:rsid w:val="00857B41"/>
    <w:rsid w:val="00860667"/>
    <w:rsid w:val="0086423A"/>
    <w:rsid w:val="008668AC"/>
    <w:rsid w:val="00870BC2"/>
    <w:rsid w:val="00872071"/>
    <w:rsid w:val="00874651"/>
    <w:rsid w:val="0087614D"/>
    <w:rsid w:val="008779DD"/>
    <w:rsid w:val="00881557"/>
    <w:rsid w:val="0088218A"/>
    <w:rsid w:val="00886A17"/>
    <w:rsid w:val="008875F7"/>
    <w:rsid w:val="00893365"/>
    <w:rsid w:val="008936A7"/>
    <w:rsid w:val="008970F2"/>
    <w:rsid w:val="008A068D"/>
    <w:rsid w:val="008A3D54"/>
    <w:rsid w:val="008A54C0"/>
    <w:rsid w:val="008A598A"/>
    <w:rsid w:val="008A6EFB"/>
    <w:rsid w:val="008B2806"/>
    <w:rsid w:val="008B299D"/>
    <w:rsid w:val="008B2EF5"/>
    <w:rsid w:val="008B3D39"/>
    <w:rsid w:val="008B4137"/>
    <w:rsid w:val="008B555D"/>
    <w:rsid w:val="008B5F7E"/>
    <w:rsid w:val="008B7817"/>
    <w:rsid w:val="008C1CC4"/>
    <w:rsid w:val="008C2C8C"/>
    <w:rsid w:val="008C2EB7"/>
    <w:rsid w:val="008C3C24"/>
    <w:rsid w:val="008C45D2"/>
    <w:rsid w:val="008D1AFA"/>
    <w:rsid w:val="008D216D"/>
    <w:rsid w:val="008D3ADC"/>
    <w:rsid w:val="008D55C7"/>
    <w:rsid w:val="008E13AD"/>
    <w:rsid w:val="008E1B94"/>
    <w:rsid w:val="008E222C"/>
    <w:rsid w:val="008E27FD"/>
    <w:rsid w:val="008E4C71"/>
    <w:rsid w:val="008E4E21"/>
    <w:rsid w:val="008E6422"/>
    <w:rsid w:val="008E65B1"/>
    <w:rsid w:val="008F00C6"/>
    <w:rsid w:val="008F2D44"/>
    <w:rsid w:val="008F339E"/>
    <w:rsid w:val="008F4BB9"/>
    <w:rsid w:val="008F5064"/>
    <w:rsid w:val="008F6E32"/>
    <w:rsid w:val="00902784"/>
    <w:rsid w:val="0090767D"/>
    <w:rsid w:val="00910968"/>
    <w:rsid w:val="00921FDE"/>
    <w:rsid w:val="00923C45"/>
    <w:rsid w:val="0092463D"/>
    <w:rsid w:val="0093038B"/>
    <w:rsid w:val="009315B1"/>
    <w:rsid w:val="00932141"/>
    <w:rsid w:val="00932502"/>
    <w:rsid w:val="00932624"/>
    <w:rsid w:val="009333B9"/>
    <w:rsid w:val="0093432E"/>
    <w:rsid w:val="00936A11"/>
    <w:rsid w:val="00940CD3"/>
    <w:rsid w:val="009428EC"/>
    <w:rsid w:val="009439BE"/>
    <w:rsid w:val="009449AA"/>
    <w:rsid w:val="00950998"/>
    <w:rsid w:val="009513EB"/>
    <w:rsid w:val="00951FBD"/>
    <w:rsid w:val="009531E4"/>
    <w:rsid w:val="00953414"/>
    <w:rsid w:val="009541FA"/>
    <w:rsid w:val="00955341"/>
    <w:rsid w:val="0095538F"/>
    <w:rsid w:val="0095546E"/>
    <w:rsid w:val="00955916"/>
    <w:rsid w:val="00960ACE"/>
    <w:rsid w:val="00961CFC"/>
    <w:rsid w:val="00962E5B"/>
    <w:rsid w:val="00963669"/>
    <w:rsid w:val="009637C7"/>
    <w:rsid w:val="00963B92"/>
    <w:rsid w:val="00965B8C"/>
    <w:rsid w:val="00966205"/>
    <w:rsid w:val="00966E14"/>
    <w:rsid w:val="009672FD"/>
    <w:rsid w:val="0096748C"/>
    <w:rsid w:val="0097195F"/>
    <w:rsid w:val="00971966"/>
    <w:rsid w:val="00974CAE"/>
    <w:rsid w:val="00977BBE"/>
    <w:rsid w:val="0098049B"/>
    <w:rsid w:val="009812C5"/>
    <w:rsid w:val="00981C50"/>
    <w:rsid w:val="00984706"/>
    <w:rsid w:val="009863E3"/>
    <w:rsid w:val="00986A7E"/>
    <w:rsid w:val="00987F63"/>
    <w:rsid w:val="00990115"/>
    <w:rsid w:val="00990C04"/>
    <w:rsid w:val="00991C2A"/>
    <w:rsid w:val="009946AA"/>
    <w:rsid w:val="0099517B"/>
    <w:rsid w:val="00995FDA"/>
    <w:rsid w:val="00996879"/>
    <w:rsid w:val="00996938"/>
    <w:rsid w:val="009A1AED"/>
    <w:rsid w:val="009A1CF8"/>
    <w:rsid w:val="009A2C6C"/>
    <w:rsid w:val="009A30FE"/>
    <w:rsid w:val="009A3ED8"/>
    <w:rsid w:val="009A43D5"/>
    <w:rsid w:val="009B62B8"/>
    <w:rsid w:val="009B6B19"/>
    <w:rsid w:val="009B7CA3"/>
    <w:rsid w:val="009C0561"/>
    <w:rsid w:val="009C1222"/>
    <w:rsid w:val="009C1DF3"/>
    <w:rsid w:val="009C7290"/>
    <w:rsid w:val="009C7BE5"/>
    <w:rsid w:val="009C7DA6"/>
    <w:rsid w:val="009D0F86"/>
    <w:rsid w:val="009D1E03"/>
    <w:rsid w:val="009D439C"/>
    <w:rsid w:val="009D52B1"/>
    <w:rsid w:val="009E2FB0"/>
    <w:rsid w:val="009E3433"/>
    <w:rsid w:val="009E4535"/>
    <w:rsid w:val="009E460C"/>
    <w:rsid w:val="009E4F50"/>
    <w:rsid w:val="009E5900"/>
    <w:rsid w:val="009E5EE7"/>
    <w:rsid w:val="009F1356"/>
    <w:rsid w:val="009F43DA"/>
    <w:rsid w:val="009F4840"/>
    <w:rsid w:val="009F624F"/>
    <w:rsid w:val="009F76C6"/>
    <w:rsid w:val="00A02706"/>
    <w:rsid w:val="00A12F4B"/>
    <w:rsid w:val="00A131BD"/>
    <w:rsid w:val="00A137E3"/>
    <w:rsid w:val="00A23326"/>
    <w:rsid w:val="00A24F9A"/>
    <w:rsid w:val="00A25201"/>
    <w:rsid w:val="00A26866"/>
    <w:rsid w:val="00A41AEA"/>
    <w:rsid w:val="00A42E60"/>
    <w:rsid w:val="00A529E2"/>
    <w:rsid w:val="00A54411"/>
    <w:rsid w:val="00A61E47"/>
    <w:rsid w:val="00A63C8C"/>
    <w:rsid w:val="00A6552D"/>
    <w:rsid w:val="00A71D93"/>
    <w:rsid w:val="00A7344F"/>
    <w:rsid w:val="00A73D1F"/>
    <w:rsid w:val="00A757A6"/>
    <w:rsid w:val="00A77AD2"/>
    <w:rsid w:val="00A81505"/>
    <w:rsid w:val="00A8415D"/>
    <w:rsid w:val="00A84C57"/>
    <w:rsid w:val="00A84D9B"/>
    <w:rsid w:val="00A87C3F"/>
    <w:rsid w:val="00A87E69"/>
    <w:rsid w:val="00A9005C"/>
    <w:rsid w:val="00A90312"/>
    <w:rsid w:val="00A91834"/>
    <w:rsid w:val="00A92C5B"/>
    <w:rsid w:val="00A93FDC"/>
    <w:rsid w:val="00AA0D12"/>
    <w:rsid w:val="00AA20D9"/>
    <w:rsid w:val="00AA2187"/>
    <w:rsid w:val="00AA41F4"/>
    <w:rsid w:val="00AA61C5"/>
    <w:rsid w:val="00AA7220"/>
    <w:rsid w:val="00AB1D99"/>
    <w:rsid w:val="00AB1DBD"/>
    <w:rsid w:val="00AB3299"/>
    <w:rsid w:val="00AB450C"/>
    <w:rsid w:val="00AB4AE5"/>
    <w:rsid w:val="00AB7DBB"/>
    <w:rsid w:val="00AC02F7"/>
    <w:rsid w:val="00AC169C"/>
    <w:rsid w:val="00AC60B5"/>
    <w:rsid w:val="00AC6A43"/>
    <w:rsid w:val="00AD4170"/>
    <w:rsid w:val="00AD4409"/>
    <w:rsid w:val="00AD4442"/>
    <w:rsid w:val="00AD5BE3"/>
    <w:rsid w:val="00AD7D12"/>
    <w:rsid w:val="00AE1E72"/>
    <w:rsid w:val="00AE2304"/>
    <w:rsid w:val="00AE2BF7"/>
    <w:rsid w:val="00AE3227"/>
    <w:rsid w:val="00AE3E2E"/>
    <w:rsid w:val="00AE7DE5"/>
    <w:rsid w:val="00AF400F"/>
    <w:rsid w:val="00AF74E9"/>
    <w:rsid w:val="00AF7B4C"/>
    <w:rsid w:val="00AF7C88"/>
    <w:rsid w:val="00B003D3"/>
    <w:rsid w:val="00B00517"/>
    <w:rsid w:val="00B00B9D"/>
    <w:rsid w:val="00B00D34"/>
    <w:rsid w:val="00B0232E"/>
    <w:rsid w:val="00B047E1"/>
    <w:rsid w:val="00B10072"/>
    <w:rsid w:val="00B10F9A"/>
    <w:rsid w:val="00B12F0D"/>
    <w:rsid w:val="00B13D2C"/>
    <w:rsid w:val="00B13FDB"/>
    <w:rsid w:val="00B21BF4"/>
    <w:rsid w:val="00B24C62"/>
    <w:rsid w:val="00B25C0B"/>
    <w:rsid w:val="00B3220A"/>
    <w:rsid w:val="00B33CA2"/>
    <w:rsid w:val="00B3468E"/>
    <w:rsid w:val="00B37350"/>
    <w:rsid w:val="00B4115C"/>
    <w:rsid w:val="00B4269F"/>
    <w:rsid w:val="00B47953"/>
    <w:rsid w:val="00B5312E"/>
    <w:rsid w:val="00B57FB8"/>
    <w:rsid w:val="00B61A9A"/>
    <w:rsid w:val="00B61DA3"/>
    <w:rsid w:val="00B63557"/>
    <w:rsid w:val="00B725E2"/>
    <w:rsid w:val="00B73F9C"/>
    <w:rsid w:val="00B74327"/>
    <w:rsid w:val="00B745B9"/>
    <w:rsid w:val="00B77FD2"/>
    <w:rsid w:val="00B80823"/>
    <w:rsid w:val="00B80C03"/>
    <w:rsid w:val="00B814FE"/>
    <w:rsid w:val="00B90307"/>
    <w:rsid w:val="00B907DD"/>
    <w:rsid w:val="00B928B9"/>
    <w:rsid w:val="00BA076F"/>
    <w:rsid w:val="00BA0C55"/>
    <w:rsid w:val="00BA2D73"/>
    <w:rsid w:val="00BA6B22"/>
    <w:rsid w:val="00BA72B0"/>
    <w:rsid w:val="00BA7643"/>
    <w:rsid w:val="00BB0AA6"/>
    <w:rsid w:val="00BB0DBF"/>
    <w:rsid w:val="00BB1360"/>
    <w:rsid w:val="00BB3A3B"/>
    <w:rsid w:val="00BB7BE0"/>
    <w:rsid w:val="00BC19B6"/>
    <w:rsid w:val="00BC41DF"/>
    <w:rsid w:val="00BC7CD6"/>
    <w:rsid w:val="00BD1ACB"/>
    <w:rsid w:val="00BD1BE8"/>
    <w:rsid w:val="00BD2A8A"/>
    <w:rsid w:val="00BE4A40"/>
    <w:rsid w:val="00BE4D54"/>
    <w:rsid w:val="00BE665B"/>
    <w:rsid w:val="00BE758E"/>
    <w:rsid w:val="00BF283B"/>
    <w:rsid w:val="00C0227C"/>
    <w:rsid w:val="00C03DBE"/>
    <w:rsid w:val="00C03DCE"/>
    <w:rsid w:val="00C03E98"/>
    <w:rsid w:val="00C04337"/>
    <w:rsid w:val="00C063EB"/>
    <w:rsid w:val="00C06E60"/>
    <w:rsid w:val="00C111D0"/>
    <w:rsid w:val="00C12354"/>
    <w:rsid w:val="00C1244B"/>
    <w:rsid w:val="00C12D22"/>
    <w:rsid w:val="00C14783"/>
    <w:rsid w:val="00C159EE"/>
    <w:rsid w:val="00C15AE4"/>
    <w:rsid w:val="00C20655"/>
    <w:rsid w:val="00C21052"/>
    <w:rsid w:val="00C223D0"/>
    <w:rsid w:val="00C24217"/>
    <w:rsid w:val="00C27CF6"/>
    <w:rsid w:val="00C30F75"/>
    <w:rsid w:val="00C31876"/>
    <w:rsid w:val="00C37CFB"/>
    <w:rsid w:val="00C40AD6"/>
    <w:rsid w:val="00C40BEE"/>
    <w:rsid w:val="00C41B3A"/>
    <w:rsid w:val="00C42F43"/>
    <w:rsid w:val="00C44D9F"/>
    <w:rsid w:val="00C45916"/>
    <w:rsid w:val="00C502E0"/>
    <w:rsid w:val="00C50F60"/>
    <w:rsid w:val="00C514CF"/>
    <w:rsid w:val="00C52836"/>
    <w:rsid w:val="00C57318"/>
    <w:rsid w:val="00C5747A"/>
    <w:rsid w:val="00C5B589"/>
    <w:rsid w:val="00C60293"/>
    <w:rsid w:val="00C63B31"/>
    <w:rsid w:val="00C6489B"/>
    <w:rsid w:val="00C670CB"/>
    <w:rsid w:val="00C673AD"/>
    <w:rsid w:val="00C71671"/>
    <w:rsid w:val="00C71CD2"/>
    <w:rsid w:val="00C728AE"/>
    <w:rsid w:val="00C749C7"/>
    <w:rsid w:val="00C77087"/>
    <w:rsid w:val="00C83758"/>
    <w:rsid w:val="00C90120"/>
    <w:rsid w:val="00C913D2"/>
    <w:rsid w:val="00C916A6"/>
    <w:rsid w:val="00C91AFF"/>
    <w:rsid w:val="00C92B80"/>
    <w:rsid w:val="00C956D0"/>
    <w:rsid w:val="00C9604E"/>
    <w:rsid w:val="00C96219"/>
    <w:rsid w:val="00C97C45"/>
    <w:rsid w:val="00CA5445"/>
    <w:rsid w:val="00CA5D5A"/>
    <w:rsid w:val="00CB1B2A"/>
    <w:rsid w:val="00CB63E6"/>
    <w:rsid w:val="00CB75CC"/>
    <w:rsid w:val="00CB7FE1"/>
    <w:rsid w:val="00CC10A1"/>
    <w:rsid w:val="00CC1B0C"/>
    <w:rsid w:val="00CC3327"/>
    <w:rsid w:val="00CC4FF1"/>
    <w:rsid w:val="00CC509E"/>
    <w:rsid w:val="00CC5399"/>
    <w:rsid w:val="00CC6E42"/>
    <w:rsid w:val="00CD3ECF"/>
    <w:rsid w:val="00CD783B"/>
    <w:rsid w:val="00CE33C3"/>
    <w:rsid w:val="00CE3CC2"/>
    <w:rsid w:val="00CE645B"/>
    <w:rsid w:val="00CE795A"/>
    <w:rsid w:val="00CF182E"/>
    <w:rsid w:val="00CF1B26"/>
    <w:rsid w:val="00CF3511"/>
    <w:rsid w:val="00CF39AC"/>
    <w:rsid w:val="00CF4A68"/>
    <w:rsid w:val="00CF5F0D"/>
    <w:rsid w:val="00CF5F33"/>
    <w:rsid w:val="00CF6E3A"/>
    <w:rsid w:val="00D00EC3"/>
    <w:rsid w:val="00D03CB3"/>
    <w:rsid w:val="00D0500F"/>
    <w:rsid w:val="00D07906"/>
    <w:rsid w:val="00D118EA"/>
    <w:rsid w:val="00D12FE7"/>
    <w:rsid w:val="00D13322"/>
    <w:rsid w:val="00D15A01"/>
    <w:rsid w:val="00D16C7D"/>
    <w:rsid w:val="00D1740B"/>
    <w:rsid w:val="00D179BE"/>
    <w:rsid w:val="00D17F2D"/>
    <w:rsid w:val="00D25689"/>
    <w:rsid w:val="00D2673A"/>
    <w:rsid w:val="00D2781C"/>
    <w:rsid w:val="00D310F9"/>
    <w:rsid w:val="00D35478"/>
    <w:rsid w:val="00D35FD0"/>
    <w:rsid w:val="00D3770E"/>
    <w:rsid w:val="00D409C5"/>
    <w:rsid w:val="00D41223"/>
    <w:rsid w:val="00D42962"/>
    <w:rsid w:val="00D45575"/>
    <w:rsid w:val="00D46D01"/>
    <w:rsid w:val="00D50F41"/>
    <w:rsid w:val="00D51BD3"/>
    <w:rsid w:val="00D52937"/>
    <w:rsid w:val="00D61A16"/>
    <w:rsid w:val="00D726FE"/>
    <w:rsid w:val="00D743BC"/>
    <w:rsid w:val="00D746A0"/>
    <w:rsid w:val="00D74A50"/>
    <w:rsid w:val="00D75C02"/>
    <w:rsid w:val="00D843F3"/>
    <w:rsid w:val="00D85B49"/>
    <w:rsid w:val="00D92EA1"/>
    <w:rsid w:val="00D95021"/>
    <w:rsid w:val="00D952C6"/>
    <w:rsid w:val="00DA1FE2"/>
    <w:rsid w:val="00DA47E6"/>
    <w:rsid w:val="00DB0175"/>
    <w:rsid w:val="00DB13CD"/>
    <w:rsid w:val="00DB3D11"/>
    <w:rsid w:val="00DB6EFD"/>
    <w:rsid w:val="00DC3B23"/>
    <w:rsid w:val="00DC622C"/>
    <w:rsid w:val="00DC7130"/>
    <w:rsid w:val="00DC78C2"/>
    <w:rsid w:val="00DD22F2"/>
    <w:rsid w:val="00DD3358"/>
    <w:rsid w:val="00DD3939"/>
    <w:rsid w:val="00DD500A"/>
    <w:rsid w:val="00DD5960"/>
    <w:rsid w:val="00DE6DC2"/>
    <w:rsid w:val="00DE72A0"/>
    <w:rsid w:val="00DE72A5"/>
    <w:rsid w:val="00DF0196"/>
    <w:rsid w:val="00DF0E28"/>
    <w:rsid w:val="00DF1EDE"/>
    <w:rsid w:val="00DF2364"/>
    <w:rsid w:val="00DF244D"/>
    <w:rsid w:val="00DF5B2D"/>
    <w:rsid w:val="00DF644D"/>
    <w:rsid w:val="00DF6EF1"/>
    <w:rsid w:val="00E005B1"/>
    <w:rsid w:val="00E02DCF"/>
    <w:rsid w:val="00E12EC5"/>
    <w:rsid w:val="00E2065E"/>
    <w:rsid w:val="00E210E1"/>
    <w:rsid w:val="00E21294"/>
    <w:rsid w:val="00E21509"/>
    <w:rsid w:val="00E222FF"/>
    <w:rsid w:val="00E309E5"/>
    <w:rsid w:val="00E30CDA"/>
    <w:rsid w:val="00E316F7"/>
    <w:rsid w:val="00E32D64"/>
    <w:rsid w:val="00E334B3"/>
    <w:rsid w:val="00E36AD0"/>
    <w:rsid w:val="00E41E6E"/>
    <w:rsid w:val="00E42034"/>
    <w:rsid w:val="00E4506F"/>
    <w:rsid w:val="00E47E09"/>
    <w:rsid w:val="00E506F9"/>
    <w:rsid w:val="00E523E1"/>
    <w:rsid w:val="00E52E97"/>
    <w:rsid w:val="00E54ABF"/>
    <w:rsid w:val="00E55653"/>
    <w:rsid w:val="00E56680"/>
    <w:rsid w:val="00E57C3C"/>
    <w:rsid w:val="00E62C9C"/>
    <w:rsid w:val="00E634E1"/>
    <w:rsid w:val="00E640C7"/>
    <w:rsid w:val="00E64D99"/>
    <w:rsid w:val="00E65CA4"/>
    <w:rsid w:val="00E66D9D"/>
    <w:rsid w:val="00E67F97"/>
    <w:rsid w:val="00E71F04"/>
    <w:rsid w:val="00E745A5"/>
    <w:rsid w:val="00E7626A"/>
    <w:rsid w:val="00E77AF5"/>
    <w:rsid w:val="00E8063F"/>
    <w:rsid w:val="00E80754"/>
    <w:rsid w:val="00E81342"/>
    <w:rsid w:val="00E84F1A"/>
    <w:rsid w:val="00E856AD"/>
    <w:rsid w:val="00E86B84"/>
    <w:rsid w:val="00E86E24"/>
    <w:rsid w:val="00E871A3"/>
    <w:rsid w:val="00E87AED"/>
    <w:rsid w:val="00E9632A"/>
    <w:rsid w:val="00EA01CE"/>
    <w:rsid w:val="00EA04EE"/>
    <w:rsid w:val="00EA33D5"/>
    <w:rsid w:val="00EA5061"/>
    <w:rsid w:val="00EA7FF6"/>
    <w:rsid w:val="00EB23BC"/>
    <w:rsid w:val="00EC56EA"/>
    <w:rsid w:val="00EC6837"/>
    <w:rsid w:val="00ED12B6"/>
    <w:rsid w:val="00ED20F0"/>
    <w:rsid w:val="00EE0B68"/>
    <w:rsid w:val="00EE3771"/>
    <w:rsid w:val="00EE4003"/>
    <w:rsid w:val="00EE4B2D"/>
    <w:rsid w:val="00EE566A"/>
    <w:rsid w:val="00EE777D"/>
    <w:rsid w:val="00EF118A"/>
    <w:rsid w:val="00EF1D90"/>
    <w:rsid w:val="00EF288B"/>
    <w:rsid w:val="00EF6622"/>
    <w:rsid w:val="00F01735"/>
    <w:rsid w:val="00F034F4"/>
    <w:rsid w:val="00F03F9B"/>
    <w:rsid w:val="00F059D0"/>
    <w:rsid w:val="00F0703F"/>
    <w:rsid w:val="00F10976"/>
    <w:rsid w:val="00F11CFD"/>
    <w:rsid w:val="00F13F3B"/>
    <w:rsid w:val="00F14B99"/>
    <w:rsid w:val="00F14C16"/>
    <w:rsid w:val="00F161F8"/>
    <w:rsid w:val="00F172C6"/>
    <w:rsid w:val="00F21CD3"/>
    <w:rsid w:val="00F22115"/>
    <w:rsid w:val="00F22687"/>
    <w:rsid w:val="00F26997"/>
    <w:rsid w:val="00F26C66"/>
    <w:rsid w:val="00F308D3"/>
    <w:rsid w:val="00F3190D"/>
    <w:rsid w:val="00F3246B"/>
    <w:rsid w:val="00F341A3"/>
    <w:rsid w:val="00F35FC1"/>
    <w:rsid w:val="00F361B0"/>
    <w:rsid w:val="00F415F9"/>
    <w:rsid w:val="00F45913"/>
    <w:rsid w:val="00F47116"/>
    <w:rsid w:val="00F477DF"/>
    <w:rsid w:val="00F479AC"/>
    <w:rsid w:val="00F51A01"/>
    <w:rsid w:val="00F53278"/>
    <w:rsid w:val="00F61D69"/>
    <w:rsid w:val="00F62618"/>
    <w:rsid w:val="00F62CF4"/>
    <w:rsid w:val="00F6446F"/>
    <w:rsid w:val="00F648B4"/>
    <w:rsid w:val="00F64A45"/>
    <w:rsid w:val="00F66342"/>
    <w:rsid w:val="00F72F39"/>
    <w:rsid w:val="00F74DEB"/>
    <w:rsid w:val="00F75AFF"/>
    <w:rsid w:val="00F76A90"/>
    <w:rsid w:val="00F80506"/>
    <w:rsid w:val="00F809C4"/>
    <w:rsid w:val="00F81C86"/>
    <w:rsid w:val="00F81D84"/>
    <w:rsid w:val="00F83157"/>
    <w:rsid w:val="00F86566"/>
    <w:rsid w:val="00F8690F"/>
    <w:rsid w:val="00F86993"/>
    <w:rsid w:val="00F86EF3"/>
    <w:rsid w:val="00F90171"/>
    <w:rsid w:val="00F910F1"/>
    <w:rsid w:val="00F91F3D"/>
    <w:rsid w:val="00F92052"/>
    <w:rsid w:val="00F92890"/>
    <w:rsid w:val="00F94654"/>
    <w:rsid w:val="00F96578"/>
    <w:rsid w:val="00F96F62"/>
    <w:rsid w:val="00F97ADE"/>
    <w:rsid w:val="00FA5BB1"/>
    <w:rsid w:val="00FB3CBD"/>
    <w:rsid w:val="00FB460B"/>
    <w:rsid w:val="00FB46DA"/>
    <w:rsid w:val="00FC073A"/>
    <w:rsid w:val="00FC2698"/>
    <w:rsid w:val="00FC623E"/>
    <w:rsid w:val="00FD2BAE"/>
    <w:rsid w:val="00FD6AA4"/>
    <w:rsid w:val="00FE065B"/>
    <w:rsid w:val="00FE0C5D"/>
    <w:rsid w:val="00FE0FB9"/>
    <w:rsid w:val="00FE2566"/>
    <w:rsid w:val="00FE471F"/>
    <w:rsid w:val="00FE47C6"/>
    <w:rsid w:val="00FE5D9B"/>
    <w:rsid w:val="00FE7E48"/>
    <w:rsid w:val="00FF562B"/>
    <w:rsid w:val="0119C088"/>
    <w:rsid w:val="01BA3291"/>
    <w:rsid w:val="01F13005"/>
    <w:rsid w:val="03EB76F1"/>
    <w:rsid w:val="05C57281"/>
    <w:rsid w:val="05E8A61B"/>
    <w:rsid w:val="07256206"/>
    <w:rsid w:val="07F00449"/>
    <w:rsid w:val="09D0F031"/>
    <w:rsid w:val="0A68B1B8"/>
    <w:rsid w:val="0A9DC5A4"/>
    <w:rsid w:val="0BF04D36"/>
    <w:rsid w:val="0C1113CD"/>
    <w:rsid w:val="0CBAAAA3"/>
    <w:rsid w:val="0CD2919E"/>
    <w:rsid w:val="0E75FCA3"/>
    <w:rsid w:val="0EBE2AFE"/>
    <w:rsid w:val="0ECCFD3A"/>
    <w:rsid w:val="0ECD08FC"/>
    <w:rsid w:val="105ACF64"/>
    <w:rsid w:val="10F60A2A"/>
    <w:rsid w:val="111A0DD3"/>
    <w:rsid w:val="112683F3"/>
    <w:rsid w:val="12354DB0"/>
    <w:rsid w:val="13EDDC3A"/>
    <w:rsid w:val="141C30BE"/>
    <w:rsid w:val="167B1678"/>
    <w:rsid w:val="16A62A38"/>
    <w:rsid w:val="16B8F731"/>
    <w:rsid w:val="178CD25B"/>
    <w:rsid w:val="186BB3E6"/>
    <w:rsid w:val="1897E777"/>
    <w:rsid w:val="18A2EEFF"/>
    <w:rsid w:val="18DA2796"/>
    <w:rsid w:val="1B34686E"/>
    <w:rsid w:val="1B73E7E6"/>
    <w:rsid w:val="1C4AEC46"/>
    <w:rsid w:val="1DA7DE51"/>
    <w:rsid w:val="1E5B8944"/>
    <w:rsid w:val="1E667A27"/>
    <w:rsid w:val="20400234"/>
    <w:rsid w:val="2173EB88"/>
    <w:rsid w:val="222B2E9B"/>
    <w:rsid w:val="22B50E30"/>
    <w:rsid w:val="2460D36E"/>
    <w:rsid w:val="24B76330"/>
    <w:rsid w:val="26B4AF03"/>
    <w:rsid w:val="276B8DEC"/>
    <w:rsid w:val="278159E8"/>
    <w:rsid w:val="27DAA00D"/>
    <w:rsid w:val="28A933AB"/>
    <w:rsid w:val="29886B9C"/>
    <w:rsid w:val="298EC7F5"/>
    <w:rsid w:val="29CFDCBD"/>
    <w:rsid w:val="2B322BC6"/>
    <w:rsid w:val="2B48384B"/>
    <w:rsid w:val="2B7D2AE7"/>
    <w:rsid w:val="2C28C52D"/>
    <w:rsid w:val="2D57246B"/>
    <w:rsid w:val="2E05FF47"/>
    <w:rsid w:val="2EDCE99D"/>
    <w:rsid w:val="2FC2DC18"/>
    <w:rsid w:val="2FC82F94"/>
    <w:rsid w:val="3110663A"/>
    <w:rsid w:val="31758B17"/>
    <w:rsid w:val="318E5344"/>
    <w:rsid w:val="31D112EA"/>
    <w:rsid w:val="321C071A"/>
    <w:rsid w:val="348690F9"/>
    <w:rsid w:val="3491E4A1"/>
    <w:rsid w:val="36636F68"/>
    <w:rsid w:val="368A4612"/>
    <w:rsid w:val="389E9F57"/>
    <w:rsid w:val="392156F4"/>
    <w:rsid w:val="39357EEA"/>
    <w:rsid w:val="39CD3EEE"/>
    <w:rsid w:val="3A115EF3"/>
    <w:rsid w:val="3A26B699"/>
    <w:rsid w:val="3B9BC702"/>
    <w:rsid w:val="3C391405"/>
    <w:rsid w:val="3C62546E"/>
    <w:rsid w:val="3D2A3240"/>
    <w:rsid w:val="3D9006F8"/>
    <w:rsid w:val="3EEF576A"/>
    <w:rsid w:val="3FAE4E91"/>
    <w:rsid w:val="40F55223"/>
    <w:rsid w:val="41426F13"/>
    <w:rsid w:val="4149175E"/>
    <w:rsid w:val="414B69D9"/>
    <w:rsid w:val="417F727E"/>
    <w:rsid w:val="41842AC5"/>
    <w:rsid w:val="43260996"/>
    <w:rsid w:val="4332BFBE"/>
    <w:rsid w:val="43DFC7D7"/>
    <w:rsid w:val="4518C5A6"/>
    <w:rsid w:val="45447F44"/>
    <w:rsid w:val="4559266C"/>
    <w:rsid w:val="4591AADF"/>
    <w:rsid w:val="4649347F"/>
    <w:rsid w:val="46B8071E"/>
    <w:rsid w:val="47D41648"/>
    <w:rsid w:val="48B36768"/>
    <w:rsid w:val="49470D56"/>
    <w:rsid w:val="496F192B"/>
    <w:rsid w:val="498FDEA2"/>
    <w:rsid w:val="4991DEBC"/>
    <w:rsid w:val="49FC6A56"/>
    <w:rsid w:val="4AA18342"/>
    <w:rsid w:val="4C004805"/>
    <w:rsid w:val="4D5F47DD"/>
    <w:rsid w:val="4E0F97FB"/>
    <w:rsid w:val="4E49986E"/>
    <w:rsid w:val="4F1461A3"/>
    <w:rsid w:val="4F5EF08B"/>
    <w:rsid w:val="51292F6A"/>
    <w:rsid w:val="51F71F03"/>
    <w:rsid w:val="5375BAAE"/>
    <w:rsid w:val="540AF954"/>
    <w:rsid w:val="55837134"/>
    <w:rsid w:val="560C611F"/>
    <w:rsid w:val="568BA3FF"/>
    <w:rsid w:val="56A0620B"/>
    <w:rsid w:val="578D486C"/>
    <w:rsid w:val="57B4E492"/>
    <w:rsid w:val="5BD05571"/>
    <w:rsid w:val="5BE82CCB"/>
    <w:rsid w:val="5C72BDAA"/>
    <w:rsid w:val="5C9F7848"/>
    <w:rsid w:val="5CEF1F62"/>
    <w:rsid w:val="5DB6AC7B"/>
    <w:rsid w:val="5ED86DDB"/>
    <w:rsid w:val="5F1C9A4B"/>
    <w:rsid w:val="60D4CBF5"/>
    <w:rsid w:val="63685362"/>
    <w:rsid w:val="637FC387"/>
    <w:rsid w:val="6413B2FE"/>
    <w:rsid w:val="64680CE4"/>
    <w:rsid w:val="64A5F8B9"/>
    <w:rsid w:val="6532B169"/>
    <w:rsid w:val="653442C1"/>
    <w:rsid w:val="655D66A3"/>
    <w:rsid w:val="6563E3A5"/>
    <w:rsid w:val="674325F1"/>
    <w:rsid w:val="67CB5629"/>
    <w:rsid w:val="6950747C"/>
    <w:rsid w:val="6A5FC68A"/>
    <w:rsid w:val="6BD3AA2A"/>
    <w:rsid w:val="6C6C8429"/>
    <w:rsid w:val="6C953E7D"/>
    <w:rsid w:val="6DDF4A5C"/>
    <w:rsid w:val="6E1C8B53"/>
    <w:rsid w:val="6E5AA675"/>
    <w:rsid w:val="6E873D8D"/>
    <w:rsid w:val="6EA7BCC1"/>
    <w:rsid w:val="6F71704C"/>
    <w:rsid w:val="6FA216F1"/>
    <w:rsid w:val="7134EFDC"/>
    <w:rsid w:val="71BDA809"/>
    <w:rsid w:val="720EB968"/>
    <w:rsid w:val="72E30DDE"/>
    <w:rsid w:val="7318B200"/>
    <w:rsid w:val="733E67D7"/>
    <w:rsid w:val="741CF0E2"/>
    <w:rsid w:val="758BFC32"/>
    <w:rsid w:val="75D82C93"/>
    <w:rsid w:val="77B5A3DE"/>
    <w:rsid w:val="7817148E"/>
    <w:rsid w:val="7850D125"/>
    <w:rsid w:val="786E25D2"/>
    <w:rsid w:val="7880F237"/>
    <w:rsid w:val="78F4D511"/>
    <w:rsid w:val="79D2C9A2"/>
    <w:rsid w:val="7A6FA4DC"/>
    <w:rsid w:val="7AD8F49B"/>
    <w:rsid w:val="7B7762B5"/>
    <w:rsid w:val="7C04108C"/>
    <w:rsid w:val="7C92C8FB"/>
    <w:rsid w:val="7D90E3FB"/>
    <w:rsid w:val="7DD4DE09"/>
    <w:rsid w:val="7E042ED4"/>
    <w:rsid w:val="7EFD4E81"/>
    <w:rsid w:val="7F07274D"/>
    <w:rsid w:val="7FFA4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C52C"/>
  <w15:docId w15:val="{D3BC8A16-33C4-40C8-B6B4-CFE462B9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customStyle="1" w:styleId="Normal1">
    <w:name w:val="Normal1"/>
    <w:rsid w:val="00A24F9A"/>
    <w:rPr>
      <w:rFonts w:ascii="Times New Roman" w:eastAsia="Times New Roman" w:hAnsi="Times New Roman" w:cs="Times New Roman"/>
      <w:color w:val="000000"/>
      <w:lang w:eastAsia="en-US"/>
    </w:rPr>
  </w:style>
  <w:style w:type="character" w:customStyle="1" w:styleId="normaltextrun">
    <w:name w:val="normaltextrun"/>
    <w:basedOn w:val="DefaultParagraphFont"/>
    <w:rsid w:val="00A24F9A"/>
  </w:style>
  <w:style w:type="character" w:styleId="Mention">
    <w:name w:val="Mention"/>
    <w:basedOn w:val="DefaultParagraphFont"/>
    <w:uiPriority w:val="99"/>
    <w:unhideWhenUsed/>
    <w:rsid w:val="00F94654"/>
    <w:rPr>
      <w:color w:val="2B579A"/>
      <w:shd w:val="clear" w:color="auto" w:fill="E1DFDD"/>
    </w:rPr>
  </w:style>
  <w:style w:type="character" w:styleId="Strong">
    <w:name w:val="Strong"/>
    <w:basedOn w:val="DefaultParagraphFont"/>
    <w:uiPriority w:val="22"/>
    <w:qFormat/>
    <w:rsid w:val="00E02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4055">
      <w:bodyDiv w:val="1"/>
      <w:marLeft w:val="0"/>
      <w:marRight w:val="0"/>
      <w:marTop w:val="0"/>
      <w:marBottom w:val="0"/>
      <w:divBdr>
        <w:top w:val="none" w:sz="0" w:space="0" w:color="auto"/>
        <w:left w:val="none" w:sz="0" w:space="0" w:color="auto"/>
        <w:bottom w:val="none" w:sz="0" w:space="0" w:color="auto"/>
        <w:right w:val="none" w:sz="0" w:space="0" w:color="auto"/>
      </w:divBdr>
    </w:div>
    <w:div w:id="1102608277">
      <w:bodyDiv w:val="1"/>
      <w:marLeft w:val="0"/>
      <w:marRight w:val="0"/>
      <w:marTop w:val="0"/>
      <w:marBottom w:val="0"/>
      <w:divBdr>
        <w:top w:val="none" w:sz="0" w:space="0" w:color="auto"/>
        <w:left w:val="none" w:sz="0" w:space="0" w:color="auto"/>
        <w:bottom w:val="none" w:sz="0" w:space="0" w:color="auto"/>
        <w:right w:val="none" w:sz="0" w:space="0" w:color="auto"/>
      </w:divBdr>
    </w:div>
    <w:div w:id="1116876713">
      <w:bodyDiv w:val="1"/>
      <w:marLeft w:val="0"/>
      <w:marRight w:val="0"/>
      <w:marTop w:val="0"/>
      <w:marBottom w:val="0"/>
      <w:divBdr>
        <w:top w:val="none" w:sz="0" w:space="0" w:color="auto"/>
        <w:left w:val="none" w:sz="0" w:space="0" w:color="auto"/>
        <w:bottom w:val="none" w:sz="0" w:space="0" w:color="auto"/>
        <w:right w:val="none" w:sz="0" w:space="0" w:color="auto"/>
      </w:divBdr>
    </w:div>
    <w:div w:id="1264068867">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4797430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60467511">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06262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an.inglis@londonciv.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londonciv.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mailto:procurement@londonciv.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Props1.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customXml/itemProps2.xml><?xml version="1.0" encoding="utf-8"?>
<ds:datastoreItem xmlns:ds="http://schemas.openxmlformats.org/officeDocument/2006/customXml" ds:itemID="{340C3B2E-F198-41AC-A714-94ACDB79521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FB881C7-B906-4A4A-B8C1-6B2BF99E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5BAC81-D698-4551-9474-E33B7C68A9DA}">
  <ds:schemaRefs>
    <ds:schemaRef ds:uri="http://schemas.microsoft.com/office/2006/metadata/properties"/>
    <ds:schemaRef ds:uri="http://schemas.microsoft.com/office/infopath/2007/PartnerControls"/>
    <ds:schemaRef ds:uri="b89ac767-3006-48e0-b89a-3208f6fd0e59"/>
    <ds:schemaRef ds:uri="ee7f6635-0c65-459d-902b-80a23c582fa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9510</Words>
  <Characters>54213</Characters>
  <Application>Microsoft Office Word</Application>
  <DocSecurity>0</DocSecurity>
  <Lines>451</Lines>
  <Paragraphs>127</Paragraphs>
  <ScaleCrop>false</ScaleCrop>
  <Company/>
  <LinksUpToDate>false</LinksUpToDate>
  <CharactersWithSpaces>63596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Ian Inglis</cp:lastModifiedBy>
  <cp:revision>219</cp:revision>
  <cp:lastPrinted>2025-03-13T01:52:00Z</cp:lastPrinted>
  <dcterms:created xsi:type="dcterms:W3CDTF">2025-06-16T10:35:00Z</dcterms:created>
  <dcterms:modified xsi:type="dcterms:W3CDTF">2025-06-17T13:16:00Z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0x010100C961977D22144940BE614E77C8D36CCF</vt:lpwstr>
  </property>
  <property fmtid="{D5CDD505-2E9C-101B-9397-08002B2CF9AE}" pid="3" name="ClassificationContentMarkingFooterShapeIds">
    <vt:lpwstr>4d3c9e66,24cd1f2b,3d6dc698,1840055f,63ff022,7dc352b1</vt:lpwstr>
  </property>
  <property fmtid="{D5CDD505-2E9C-101B-9397-08002B2CF9AE}" pid="4" name="ClassificationContentMarkingFooterFontProps">
    <vt:lpwstr>#000000,10,Calibri</vt:lpwstr>
  </property>
  <property fmtid="{D5CDD505-2E9C-101B-9397-08002B2CF9AE}" pid="5" name="ClassificationContentMarkingFooterText">
    <vt:lpwstr>Unrestricted Document</vt:lpwstr>
  </property>
  <property fmtid="{D5CDD505-2E9C-101B-9397-08002B2CF9AE}" pid="6" name="MSIP_Label_04c8c431-0d04-444c-8584-488befb681e4_Enabled">
    <vt:lpwstr>true</vt:lpwstr>
  </property>
  <property fmtid="{D5CDD505-2E9C-101B-9397-08002B2CF9AE}" pid="7" name="MSIP_Label_04c8c431-0d04-444c-8584-488befb681e4_SetDate">
    <vt:lpwstr>2025-02-18T09:51:16Z</vt:lpwstr>
  </property>
  <property fmtid="{D5CDD505-2E9C-101B-9397-08002B2CF9AE}" pid="8" name="MSIP_Label_04c8c431-0d04-444c-8584-488befb681e4_Method">
    <vt:lpwstr>Standard</vt:lpwstr>
  </property>
  <property fmtid="{D5CDD505-2E9C-101B-9397-08002B2CF9AE}" pid="9" name="MSIP_Label_04c8c431-0d04-444c-8584-488befb681e4_Name">
    <vt:lpwstr>Unrestricted</vt:lpwstr>
  </property>
  <property fmtid="{D5CDD505-2E9C-101B-9397-08002B2CF9AE}" pid="10" name="MSIP_Label_04c8c431-0d04-444c-8584-488befb681e4_SiteId">
    <vt:lpwstr>060db25a-21a5-44fa-9aeb-55b64ef85350</vt:lpwstr>
  </property>
  <property fmtid="{D5CDD505-2E9C-101B-9397-08002B2CF9AE}" pid="11" name="MSIP_Label_04c8c431-0d04-444c-8584-488befb681e4_ActionId">
    <vt:lpwstr>49b090f0-b8e9-494e-88ce-bc3b58ae8d2c</vt:lpwstr>
  </property>
  <property fmtid="{D5CDD505-2E9C-101B-9397-08002B2CF9AE}" pid="12" name="MSIP_Label_04c8c431-0d04-444c-8584-488befb681e4_ContentBits">
    <vt:lpwstr>2</vt:lpwstr>
  </property>
  <property fmtid="{D5CDD505-2E9C-101B-9397-08002B2CF9AE}" pid="13" name="MSIP_Label_04c8c431-0d04-444c-8584-488befb681e4_Tag">
    <vt:lpwstr>10, 3, 0, 2</vt:lpwstr>
  </property>
  <property fmtid="{D5CDD505-2E9C-101B-9397-08002B2CF9AE}" pid="14" name="MediaServiceImageTags">
    <vt:lpwstr/>
  </property>
  <property fmtid="{D5CDD505-2E9C-101B-9397-08002B2CF9AE}" pid="15" name="GrammarlyDocumentId">
    <vt:lpwstr>68ed2b2c-1817-4610-957c-b50ca4c835b5</vt:lpwstr>
  </property>
</Properties>
</file>