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551908" w:displacedByCustomXml="next"/>
    <w:sdt>
      <w:sdtPr>
        <w:alias w:val="Title"/>
        <w:tag w:val=""/>
        <w:id w:val="-699473600"/>
        <w:placeholder>
          <w:docPart w:val="12C0536B80014D9AA739C5DFB06BBCC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2EDE676" w14:textId="015BF42B" w:rsidR="003B17E6" w:rsidRPr="00EE278D" w:rsidRDefault="003B17E6" w:rsidP="004E1570">
          <w:pPr>
            <w:pStyle w:val="Heading1"/>
          </w:pPr>
          <w:r>
            <w:t>Invitation to Tender (ITT) and Statement of Requirement</w:t>
          </w:r>
        </w:p>
      </w:sdtContent>
    </w:sdt>
    <w:sdt>
      <w:sdtPr>
        <w:rPr>
          <w:rStyle w:val="chrSubTitle"/>
        </w:rPr>
        <w:alias w:val="Subject"/>
        <w:tag w:val=""/>
        <w:id w:val="-1191455524"/>
        <w:placeholder>
          <w:docPart w:val="54FF68D7F353442DA8842188DA8B9754"/>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0BAF2E89" w14:textId="2658836C" w:rsidR="003B17E6" w:rsidRPr="00092D15" w:rsidRDefault="003B17E6" w:rsidP="00C71C4F">
          <w:pPr>
            <w:pStyle w:val="Heading1"/>
            <w:rPr>
              <w:rStyle w:val="chrSubTitle"/>
            </w:rPr>
          </w:pPr>
          <w:r w:rsidRPr="00EF0A40">
            <w:rPr>
              <w:rStyle w:val="chrSubTitle"/>
              <w:color w:val="B1173B"/>
            </w:rPr>
            <w:t>Benchmarking of international railway infrastructure managers’ expenditure (covering operations, support, maintenance and renewals activities)</w:t>
          </w:r>
        </w:p>
      </w:sdtContent>
    </w:sdt>
    <w:sdt>
      <w:sdtPr>
        <w:alias w:val="Date"/>
        <w:tag w:val=""/>
        <w:id w:val="1579170274"/>
        <w:placeholder>
          <w:docPart w:val="2B0308448A4E4D6DA3EB415A9C6269B1"/>
        </w:placeholder>
        <w:dataBinding w:prefixMappings="xmlns:ns0='http://schemas.microsoft.com/office/2006/coverPageProps' " w:xpath="/ns0:CoverPageProperties[1]/ns0:PublishDate[1]" w:storeItemID="{55AF091B-3C7A-41E3-B477-F2FDAA23CFDA}"/>
        <w:date w:fullDate="2025-06-12T00:00:00Z">
          <w:dateFormat w:val="dd MMMM yyyy"/>
          <w:lid w:val="en-GB"/>
          <w:storeMappedDataAs w:val="dateTime"/>
          <w:calendar w:val="gregorian"/>
        </w:date>
      </w:sdtPr>
      <w:sdtEndPr/>
      <w:sdtContent>
        <w:p w14:paraId="5A99064C" w14:textId="7FDC90D5" w:rsidR="003B17E6" w:rsidRDefault="00F454C5" w:rsidP="00C71C4F">
          <w:pPr>
            <w:pStyle w:val="Date"/>
          </w:pPr>
          <w:r>
            <w:t>12 June 2025</w:t>
          </w:r>
        </w:p>
      </w:sdtContent>
    </w:sdt>
    <w:p w14:paraId="3B938B38" w14:textId="77777777" w:rsidR="003B17E6" w:rsidRDefault="003B17E6" w:rsidP="00C71C4F"/>
    <w:p w14:paraId="15B1740B" w14:textId="77777777" w:rsidR="00ED27F4" w:rsidRPr="00574B16" w:rsidRDefault="00ED27F4" w:rsidP="00ED27F4">
      <w:pPr>
        <w:pStyle w:val="NormalBulletround"/>
        <w:numPr>
          <w:ilvl w:val="4"/>
          <w:numId w:val="25"/>
        </w:numPr>
        <w:rPr>
          <w:b/>
          <w:bCs/>
          <w:color w:val="B1173B"/>
        </w:rPr>
      </w:pPr>
      <w:r w:rsidRPr="003E5612">
        <w:rPr>
          <w:b/>
          <w:bCs/>
        </w:rPr>
        <w:t xml:space="preserve">CPV Code: </w:t>
      </w:r>
      <w:r w:rsidRPr="00AC608C">
        <w:rPr>
          <w:b/>
          <w:bCs/>
          <w:color w:val="B1173B"/>
        </w:rPr>
        <w:t>79400000</w:t>
      </w:r>
    </w:p>
    <w:p w14:paraId="2650B59E" w14:textId="7B9E579D" w:rsidR="00F17935" w:rsidRDefault="00ED27F4" w:rsidP="00F17935">
      <w:pPr>
        <w:pStyle w:val="NormalBulletround"/>
        <w:numPr>
          <w:ilvl w:val="4"/>
          <w:numId w:val="25"/>
        </w:numPr>
        <w:rPr>
          <w:b/>
          <w:color w:val="B1173B"/>
          <w:rPrChange w:id="1" w:author="Dinkele, Harriet" w:date="2025-06-10T09:44:00Z" w16du:dateUtc="2025-06-10T08:44:00Z">
            <w:rPr/>
          </w:rPrChange>
        </w:rPr>
        <w:sectPr w:rsidR="00F17935" w:rsidSect="003B17E6">
          <w:headerReference w:type="even" r:id="rId13"/>
          <w:headerReference w:type="default" r:id="rId14"/>
          <w:footerReference w:type="even" r:id="rId15"/>
          <w:footerReference w:type="default" r:id="rId16"/>
          <w:headerReference w:type="first" r:id="rId17"/>
          <w:footerReference w:type="first" r:id="rId18"/>
          <w:pgSz w:w="11906" w:h="16838" w:code="9"/>
          <w:pgMar w:top="5443" w:right="1134" w:bottom="1134" w:left="1134" w:header="709" w:footer="709" w:gutter="0"/>
          <w:pgNumType w:start="1"/>
          <w:cols w:space="708"/>
          <w:titlePg/>
          <w:docGrid w:linePitch="360"/>
        </w:sectPr>
      </w:pPr>
      <w:r w:rsidRPr="003E5612">
        <w:rPr>
          <w:b/>
          <w:bCs/>
        </w:rPr>
        <w:t>Tender Reference:</w:t>
      </w:r>
      <w:r w:rsidRPr="00574B16">
        <w:rPr>
          <w:b/>
          <w:bCs/>
          <w:color w:val="B1173B"/>
        </w:rPr>
        <w:t xml:space="preserve"> </w:t>
      </w:r>
      <w:r w:rsidRPr="00AC608C">
        <w:rPr>
          <w:b/>
          <w:bCs/>
          <w:color w:val="B1173B"/>
        </w:rPr>
        <w:t>ORR/CT/25-</w:t>
      </w:r>
      <w:r>
        <w:rPr>
          <w:b/>
          <w:bCs/>
          <w:color w:val="B1173B"/>
        </w:rPr>
        <w:t>22</w:t>
      </w:r>
    </w:p>
    <w:p w14:paraId="3FB2C7E6" w14:textId="77777777" w:rsidR="003B17E6" w:rsidRDefault="003B17E6" w:rsidP="004E1570">
      <w:pPr>
        <w:pStyle w:val="Heading2NoToc"/>
      </w:pPr>
      <w:r>
        <w:lastRenderedPageBreak/>
        <w:t>Contents</w:t>
      </w:r>
    </w:p>
    <w:p w14:paraId="496F7A85" w14:textId="7079A336" w:rsidR="00AA4E6C" w:rsidRDefault="003B17E6">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instrText xml:space="preserve"> TOC \f \h \z \t "Heading 2,1,Heading 2NoNumb,1,Heading 2 (Single),1,Annex H2,5" </w:instrText>
      </w:r>
      <w:r>
        <w:rPr>
          <w:color w:val="731472"/>
        </w:rPr>
        <w:fldChar w:fldCharType="separate"/>
      </w:r>
      <w:hyperlink w:anchor="_Toc200439771" w:history="1">
        <w:r w:rsidR="00AA4E6C" w:rsidRPr="00544E99">
          <w:rPr>
            <w:rStyle w:val="Hyperlink"/>
          </w:rPr>
          <w:t>Purpose of the document</w:t>
        </w:r>
        <w:r w:rsidR="00AA4E6C">
          <w:rPr>
            <w:webHidden/>
          </w:rPr>
          <w:tab/>
        </w:r>
        <w:r w:rsidR="00AA4E6C">
          <w:rPr>
            <w:webHidden/>
          </w:rPr>
          <w:fldChar w:fldCharType="begin"/>
        </w:r>
        <w:r w:rsidR="00AA4E6C">
          <w:rPr>
            <w:webHidden/>
          </w:rPr>
          <w:instrText xml:space="preserve"> PAGEREF _Toc200439771 \h </w:instrText>
        </w:r>
        <w:r w:rsidR="00AA4E6C">
          <w:rPr>
            <w:webHidden/>
          </w:rPr>
        </w:r>
        <w:r w:rsidR="00AA4E6C">
          <w:rPr>
            <w:webHidden/>
          </w:rPr>
          <w:fldChar w:fldCharType="separate"/>
        </w:r>
        <w:r w:rsidR="00AA4E6C">
          <w:rPr>
            <w:webHidden/>
          </w:rPr>
          <w:t>5</w:t>
        </w:r>
        <w:r w:rsidR="00AA4E6C">
          <w:rPr>
            <w:webHidden/>
          </w:rPr>
          <w:fldChar w:fldCharType="end"/>
        </w:r>
      </w:hyperlink>
    </w:p>
    <w:p w14:paraId="54BC2937" w14:textId="26596156" w:rsidR="00AA4E6C" w:rsidRDefault="00AA4E6C">
      <w:pPr>
        <w:pStyle w:val="TOC1"/>
        <w:rPr>
          <w:rFonts w:asciiTheme="minorHAnsi" w:eastAsiaTheme="minorEastAsia" w:hAnsiTheme="minorHAnsi"/>
          <w:b w:val="0"/>
          <w:bCs w:val="0"/>
          <w:color w:val="auto"/>
          <w:kern w:val="2"/>
          <w:szCs w:val="24"/>
          <w:lang w:eastAsia="en-GB"/>
          <w14:ligatures w14:val="standardContextual"/>
        </w:rPr>
      </w:pPr>
      <w:hyperlink w:anchor="_Toc200439772" w:history="1">
        <w:r w:rsidRPr="00544E99">
          <w:rPr>
            <w:rStyle w:val="Hyperlink"/>
          </w:rPr>
          <w:t>1.</w:t>
        </w:r>
        <w:r>
          <w:rPr>
            <w:rFonts w:asciiTheme="minorHAnsi" w:eastAsiaTheme="minorEastAsia" w:hAnsiTheme="minorHAnsi"/>
            <w:b w:val="0"/>
            <w:bCs w:val="0"/>
            <w:color w:val="auto"/>
            <w:kern w:val="2"/>
            <w:szCs w:val="24"/>
            <w:lang w:eastAsia="en-GB"/>
            <w14:ligatures w14:val="standardContextual"/>
          </w:rPr>
          <w:tab/>
        </w:r>
        <w:r w:rsidRPr="00544E99">
          <w:rPr>
            <w:rStyle w:val="Hyperlink"/>
          </w:rPr>
          <w:t>Introduction to the Office of Rail and Road</w:t>
        </w:r>
        <w:r>
          <w:rPr>
            <w:webHidden/>
          </w:rPr>
          <w:tab/>
        </w:r>
        <w:r>
          <w:rPr>
            <w:webHidden/>
          </w:rPr>
          <w:fldChar w:fldCharType="begin"/>
        </w:r>
        <w:r>
          <w:rPr>
            <w:webHidden/>
          </w:rPr>
          <w:instrText xml:space="preserve"> PAGEREF _Toc200439772 \h </w:instrText>
        </w:r>
        <w:r>
          <w:rPr>
            <w:webHidden/>
          </w:rPr>
        </w:r>
        <w:r>
          <w:rPr>
            <w:webHidden/>
          </w:rPr>
          <w:fldChar w:fldCharType="separate"/>
        </w:r>
        <w:r>
          <w:rPr>
            <w:webHidden/>
          </w:rPr>
          <w:t>6</w:t>
        </w:r>
        <w:r>
          <w:rPr>
            <w:webHidden/>
          </w:rPr>
          <w:fldChar w:fldCharType="end"/>
        </w:r>
      </w:hyperlink>
    </w:p>
    <w:p w14:paraId="51860835" w14:textId="030ED132" w:rsidR="00AA4E6C" w:rsidRDefault="00AA4E6C">
      <w:pPr>
        <w:pStyle w:val="TOC1"/>
        <w:rPr>
          <w:rFonts w:asciiTheme="minorHAnsi" w:eastAsiaTheme="minorEastAsia" w:hAnsiTheme="minorHAnsi"/>
          <w:b w:val="0"/>
          <w:bCs w:val="0"/>
          <w:color w:val="auto"/>
          <w:kern w:val="2"/>
          <w:szCs w:val="24"/>
          <w:lang w:eastAsia="en-GB"/>
          <w14:ligatures w14:val="standardContextual"/>
        </w:rPr>
      </w:pPr>
      <w:hyperlink w:anchor="_Toc200439773" w:history="1">
        <w:r w:rsidRPr="00544E99">
          <w:rPr>
            <w:rStyle w:val="Hyperlink"/>
          </w:rPr>
          <w:t>Small and Medium Enterprises</w:t>
        </w:r>
        <w:r>
          <w:rPr>
            <w:webHidden/>
          </w:rPr>
          <w:tab/>
        </w:r>
        <w:r>
          <w:rPr>
            <w:webHidden/>
          </w:rPr>
          <w:fldChar w:fldCharType="begin"/>
        </w:r>
        <w:r>
          <w:rPr>
            <w:webHidden/>
          </w:rPr>
          <w:instrText xml:space="preserve"> PAGEREF _Toc200439773 \h </w:instrText>
        </w:r>
        <w:r>
          <w:rPr>
            <w:webHidden/>
          </w:rPr>
        </w:r>
        <w:r>
          <w:rPr>
            <w:webHidden/>
          </w:rPr>
          <w:fldChar w:fldCharType="separate"/>
        </w:r>
        <w:r>
          <w:rPr>
            <w:webHidden/>
          </w:rPr>
          <w:t>8</w:t>
        </w:r>
        <w:r>
          <w:rPr>
            <w:webHidden/>
          </w:rPr>
          <w:fldChar w:fldCharType="end"/>
        </w:r>
      </w:hyperlink>
    </w:p>
    <w:p w14:paraId="1DF5C24E" w14:textId="0314D5D0" w:rsidR="00AA4E6C" w:rsidRDefault="00AA4E6C">
      <w:pPr>
        <w:pStyle w:val="TOC1"/>
        <w:rPr>
          <w:rFonts w:asciiTheme="minorHAnsi" w:eastAsiaTheme="minorEastAsia" w:hAnsiTheme="minorHAnsi"/>
          <w:b w:val="0"/>
          <w:bCs w:val="0"/>
          <w:color w:val="auto"/>
          <w:kern w:val="2"/>
          <w:szCs w:val="24"/>
          <w:lang w:eastAsia="en-GB"/>
          <w14:ligatures w14:val="standardContextual"/>
        </w:rPr>
      </w:pPr>
      <w:hyperlink w:anchor="_Toc200439774" w:history="1">
        <w:r w:rsidRPr="00544E99">
          <w:rPr>
            <w:rStyle w:val="Hyperlink"/>
          </w:rPr>
          <w:t>2.</w:t>
        </w:r>
        <w:r>
          <w:rPr>
            <w:rFonts w:asciiTheme="minorHAnsi" w:eastAsiaTheme="minorEastAsia" w:hAnsiTheme="minorHAnsi"/>
            <w:b w:val="0"/>
            <w:bCs w:val="0"/>
            <w:color w:val="auto"/>
            <w:kern w:val="2"/>
            <w:szCs w:val="24"/>
            <w:lang w:eastAsia="en-GB"/>
            <w14:ligatures w14:val="standardContextual"/>
          </w:rPr>
          <w:tab/>
        </w:r>
        <w:r w:rsidRPr="00544E99">
          <w:rPr>
            <w:rStyle w:val="Hyperlink"/>
          </w:rPr>
          <w:t>Statement of Requirement</w:t>
        </w:r>
        <w:r>
          <w:rPr>
            <w:webHidden/>
          </w:rPr>
          <w:tab/>
        </w:r>
        <w:r>
          <w:rPr>
            <w:webHidden/>
          </w:rPr>
          <w:fldChar w:fldCharType="begin"/>
        </w:r>
        <w:r>
          <w:rPr>
            <w:webHidden/>
          </w:rPr>
          <w:instrText xml:space="preserve"> PAGEREF _Toc200439774 \h </w:instrText>
        </w:r>
        <w:r>
          <w:rPr>
            <w:webHidden/>
          </w:rPr>
        </w:r>
        <w:r>
          <w:rPr>
            <w:webHidden/>
          </w:rPr>
          <w:fldChar w:fldCharType="separate"/>
        </w:r>
        <w:r>
          <w:rPr>
            <w:webHidden/>
          </w:rPr>
          <w:t>10</w:t>
        </w:r>
        <w:r>
          <w:rPr>
            <w:webHidden/>
          </w:rPr>
          <w:fldChar w:fldCharType="end"/>
        </w:r>
      </w:hyperlink>
    </w:p>
    <w:p w14:paraId="782BF722" w14:textId="1E09FFC7" w:rsidR="00AA4E6C" w:rsidRDefault="00AA4E6C">
      <w:pPr>
        <w:pStyle w:val="TOC1"/>
        <w:rPr>
          <w:rFonts w:asciiTheme="minorHAnsi" w:eastAsiaTheme="minorEastAsia" w:hAnsiTheme="minorHAnsi"/>
          <w:b w:val="0"/>
          <w:bCs w:val="0"/>
          <w:color w:val="auto"/>
          <w:kern w:val="2"/>
          <w:szCs w:val="24"/>
          <w:lang w:eastAsia="en-GB"/>
          <w14:ligatures w14:val="standardContextual"/>
        </w:rPr>
      </w:pPr>
      <w:hyperlink w:anchor="_Toc200439775" w:history="1">
        <w:r w:rsidRPr="00544E99">
          <w:rPr>
            <w:rStyle w:val="Hyperlink"/>
          </w:rPr>
          <w:t>3.</w:t>
        </w:r>
        <w:r>
          <w:rPr>
            <w:rFonts w:asciiTheme="minorHAnsi" w:eastAsiaTheme="minorEastAsia" w:hAnsiTheme="minorHAnsi"/>
            <w:b w:val="0"/>
            <w:bCs w:val="0"/>
            <w:color w:val="auto"/>
            <w:kern w:val="2"/>
            <w:szCs w:val="24"/>
            <w:lang w:eastAsia="en-GB"/>
            <w14:ligatures w14:val="standardContextual"/>
          </w:rPr>
          <w:tab/>
        </w:r>
        <w:r w:rsidRPr="00544E99">
          <w:rPr>
            <w:rStyle w:val="Hyperlink"/>
          </w:rPr>
          <w:t>Tender Response and Evaluation Criteria</w:t>
        </w:r>
        <w:r>
          <w:rPr>
            <w:webHidden/>
          </w:rPr>
          <w:tab/>
        </w:r>
        <w:r>
          <w:rPr>
            <w:webHidden/>
          </w:rPr>
          <w:fldChar w:fldCharType="begin"/>
        </w:r>
        <w:r>
          <w:rPr>
            <w:webHidden/>
          </w:rPr>
          <w:instrText xml:space="preserve"> PAGEREF _Toc200439775 \h </w:instrText>
        </w:r>
        <w:r>
          <w:rPr>
            <w:webHidden/>
          </w:rPr>
        </w:r>
        <w:r>
          <w:rPr>
            <w:webHidden/>
          </w:rPr>
          <w:fldChar w:fldCharType="separate"/>
        </w:r>
        <w:r>
          <w:rPr>
            <w:webHidden/>
          </w:rPr>
          <w:t>17</w:t>
        </w:r>
        <w:r>
          <w:rPr>
            <w:webHidden/>
          </w:rPr>
          <w:fldChar w:fldCharType="end"/>
        </w:r>
      </w:hyperlink>
    </w:p>
    <w:p w14:paraId="49B4DA86" w14:textId="406618FA" w:rsidR="00AA4E6C" w:rsidRDefault="00AA4E6C">
      <w:pPr>
        <w:pStyle w:val="TOC1"/>
        <w:rPr>
          <w:rFonts w:asciiTheme="minorHAnsi" w:eastAsiaTheme="minorEastAsia" w:hAnsiTheme="minorHAnsi"/>
          <w:b w:val="0"/>
          <w:bCs w:val="0"/>
          <w:color w:val="auto"/>
          <w:kern w:val="2"/>
          <w:szCs w:val="24"/>
          <w:lang w:eastAsia="en-GB"/>
          <w14:ligatures w14:val="standardContextual"/>
        </w:rPr>
      </w:pPr>
      <w:hyperlink w:anchor="_Toc200439776" w:history="1">
        <w:r w:rsidRPr="00544E99">
          <w:rPr>
            <w:rStyle w:val="Hyperlink"/>
          </w:rPr>
          <w:t>4.</w:t>
        </w:r>
        <w:r>
          <w:rPr>
            <w:rFonts w:asciiTheme="minorHAnsi" w:eastAsiaTheme="minorEastAsia" w:hAnsiTheme="minorHAnsi"/>
            <w:b w:val="0"/>
            <w:bCs w:val="0"/>
            <w:color w:val="auto"/>
            <w:kern w:val="2"/>
            <w:szCs w:val="24"/>
            <w:lang w:eastAsia="en-GB"/>
            <w14:ligatures w14:val="standardContextual"/>
          </w:rPr>
          <w:tab/>
        </w:r>
        <w:r w:rsidRPr="00544E99">
          <w:rPr>
            <w:rStyle w:val="Hyperlink"/>
          </w:rPr>
          <w:t>Procurement Procedures</w:t>
        </w:r>
        <w:r>
          <w:rPr>
            <w:webHidden/>
          </w:rPr>
          <w:tab/>
        </w:r>
        <w:r>
          <w:rPr>
            <w:webHidden/>
          </w:rPr>
          <w:fldChar w:fldCharType="begin"/>
        </w:r>
        <w:r>
          <w:rPr>
            <w:webHidden/>
          </w:rPr>
          <w:instrText xml:space="preserve"> PAGEREF _Toc200439776 \h </w:instrText>
        </w:r>
        <w:r>
          <w:rPr>
            <w:webHidden/>
          </w:rPr>
        </w:r>
        <w:r>
          <w:rPr>
            <w:webHidden/>
          </w:rPr>
          <w:fldChar w:fldCharType="separate"/>
        </w:r>
        <w:r>
          <w:rPr>
            <w:webHidden/>
          </w:rPr>
          <w:t>23</w:t>
        </w:r>
        <w:r>
          <w:rPr>
            <w:webHidden/>
          </w:rPr>
          <w:fldChar w:fldCharType="end"/>
        </w:r>
      </w:hyperlink>
    </w:p>
    <w:p w14:paraId="6057562F" w14:textId="3A30143B" w:rsidR="003B17E6" w:rsidRDefault="003B17E6" w:rsidP="004E1570">
      <w:pPr>
        <w:sectPr w:rsidR="003B17E6" w:rsidSect="003B17E6">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6" w:name="_Toc111551913"/>
      <w:bookmarkStart w:id="7" w:name="_Toc200439771"/>
      <w:bookmarkEnd w:id="0"/>
      <w:r>
        <w:lastRenderedPageBreak/>
        <w:t>Purpose of the document</w:t>
      </w:r>
      <w:bookmarkEnd w:id="6"/>
      <w:bookmarkEnd w:id="7"/>
    </w:p>
    <w:p w14:paraId="5CB061E3" w14:textId="68483B14" w:rsidR="00A02455" w:rsidRDefault="00A02455" w:rsidP="00A02455">
      <w:r>
        <w:t>The purpose of this document is to invite proposals for</w:t>
      </w:r>
      <w:r w:rsidR="00F0335D">
        <w:t xml:space="preserve"> a</w:t>
      </w:r>
      <w:r>
        <w:t xml:space="preserve"> </w:t>
      </w:r>
      <w:r w:rsidR="00F0335D">
        <w:t>t</w:t>
      </w:r>
      <w:r w:rsidR="00F0335D" w:rsidRPr="00F0335D">
        <w:t xml:space="preserve">op-down cost benchmarking </w:t>
      </w:r>
      <w:r w:rsidR="00F0335D">
        <w:t xml:space="preserve">study </w:t>
      </w:r>
      <w:r w:rsidR="00F0335D" w:rsidRPr="00F0335D">
        <w:t xml:space="preserve">of European railway infrastructure managers’ maintenance and renewals expenditure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CE68FA">
      <w:pPr>
        <w:pStyle w:val="NormalBulletnumber"/>
        <w:numPr>
          <w:ilvl w:val="3"/>
          <w:numId w:val="10"/>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8" w:name="_Toc111551914"/>
      <w:bookmarkStart w:id="9" w:name="_Toc200439772"/>
      <w:r>
        <w:lastRenderedPageBreak/>
        <w:t>Introduction to the Office of Rail and Road</w:t>
      </w:r>
      <w:bookmarkEnd w:id="8"/>
      <w:bookmarkEnd w:id="9"/>
    </w:p>
    <w:p w14:paraId="0EC8CF73" w14:textId="051BA10C" w:rsidR="00490915" w:rsidRDefault="00490915" w:rsidP="00490915">
      <w:r>
        <w:t>The Office of Rail and Road is the independent safety and economic regulator of Britain’s railways</w:t>
      </w:r>
      <w:r w:rsidR="008167C4">
        <w:t>. We</w:t>
      </w:r>
      <w:r>
        <w:t xml:space="preserve"> also hold National Highways to account for its day-to-day efficiency and performance, running the strategic road network, and for delivering the five year road investment strategy.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6D9C42F" w:rsidR="00490915" w:rsidRDefault="00490915" w:rsidP="00490915">
      <w:r>
        <w:t xml:space="preserve">For further information on ORR please visit our website: </w:t>
      </w:r>
      <w:hyperlink r:id="rId25"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bookmarkStart w:id="13" w:name="_Toc200439773"/>
      <w:r>
        <w:lastRenderedPageBreak/>
        <w:t>Small and Medium Enterprises</w:t>
      </w:r>
      <w:bookmarkEnd w:id="12"/>
      <w:bookmarkEnd w:id="13"/>
    </w:p>
    <w:p w14:paraId="37ED9C1E" w14:textId="73536768"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A16E9">
            <w:pPr>
              <w:pStyle w:val="TblText"/>
            </w:pPr>
            <w:r w:rsidRPr="00D6160E">
              <w:t>≤ € 10 million</w:t>
            </w:r>
          </w:p>
        </w:tc>
        <w:tc>
          <w:tcPr>
            <w:tcW w:w="894" w:type="dxa"/>
            <w:shd w:val="clear" w:color="auto" w:fill="auto"/>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A16E9">
            <w:pPr>
              <w:pStyle w:val="TblText"/>
            </w:pPr>
            <w:r w:rsidRPr="00D6160E">
              <w:t>&gt; € 50 million</w:t>
            </w:r>
          </w:p>
        </w:tc>
        <w:tc>
          <w:tcPr>
            <w:tcW w:w="894" w:type="dxa"/>
            <w:shd w:val="clear" w:color="auto" w:fill="auto"/>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4" w:name="_Toc111551918"/>
      <w:bookmarkStart w:id="15" w:name="_Toc200439774"/>
      <w:r>
        <w:lastRenderedPageBreak/>
        <w:t>Statement of Requirement</w:t>
      </w:r>
      <w:bookmarkEnd w:id="14"/>
      <w:bookmarkEnd w:id="15"/>
    </w:p>
    <w:p w14:paraId="0C918979" w14:textId="4CE3B4F2" w:rsidR="00F20E70" w:rsidRDefault="00F20E70" w:rsidP="00F20E70">
      <w:pPr>
        <w:pStyle w:val="Heading3"/>
      </w:pPr>
      <w:bookmarkStart w:id="16" w:name="_Toc111551919"/>
      <w:r>
        <w:t>2.1 Background of the project</w:t>
      </w:r>
      <w:bookmarkEnd w:id="16"/>
    </w:p>
    <w:p w14:paraId="2B5C3E2F" w14:textId="1DB3C601" w:rsidR="00763DEC" w:rsidRDefault="005421F6" w:rsidP="00E548C8">
      <w:pPr>
        <w:pStyle w:val="ListNumber"/>
        <w:numPr>
          <w:ilvl w:val="0"/>
          <w:numId w:val="0"/>
        </w:numPr>
        <w:spacing w:line="288" w:lineRule="auto"/>
      </w:pPr>
      <w:r>
        <w:rPr>
          <w:szCs w:val="24"/>
        </w:rPr>
        <w:t xml:space="preserve">This project falls </w:t>
      </w:r>
      <w:r w:rsidR="00004793">
        <w:rPr>
          <w:szCs w:val="24"/>
        </w:rPr>
        <w:t>within</w:t>
      </w:r>
      <w:r>
        <w:rPr>
          <w:szCs w:val="24"/>
        </w:rPr>
        <w:t xml:space="preserve"> ORR’s </w:t>
      </w:r>
      <w:r w:rsidR="007D0452">
        <w:rPr>
          <w:szCs w:val="24"/>
        </w:rPr>
        <w:t xml:space="preserve">strategic objective </w:t>
      </w:r>
      <w:r w:rsidR="008A43AD">
        <w:rPr>
          <w:szCs w:val="24"/>
        </w:rPr>
        <w:t>of</w:t>
      </w:r>
      <w:r>
        <w:rPr>
          <w:szCs w:val="24"/>
        </w:rPr>
        <w:t xml:space="preserve"> delivering value-for-money on the railways.</w:t>
      </w:r>
      <w:r w:rsidR="00E548C8">
        <w:rPr>
          <w:szCs w:val="24"/>
        </w:rPr>
        <w:t xml:space="preserve"> </w:t>
      </w:r>
      <w:r w:rsidR="00763DEC">
        <w:t>A</w:t>
      </w:r>
      <w:r w:rsidR="00733DE8">
        <w:t>n important</w:t>
      </w:r>
      <w:r w:rsidR="00763DEC">
        <w:t xml:space="preserve"> part of our </w:t>
      </w:r>
      <w:r w:rsidR="00004793">
        <w:t>work</w:t>
      </w:r>
      <w:r w:rsidR="007D0452">
        <w:t xml:space="preserve"> ahead of</w:t>
      </w:r>
      <w:r w:rsidR="00004793">
        <w:t xml:space="preserve"> </w:t>
      </w:r>
      <w:r w:rsidR="002513ED">
        <w:t xml:space="preserve">the next funding period (provisionally called </w:t>
      </w:r>
      <w:r w:rsidR="007D0452">
        <w:t>Control Period 8 (CP8), covering the period 1 April 2029 to 31 March 2034, is</w:t>
      </w:r>
      <w:r w:rsidR="00763DEC">
        <w:t xml:space="preserve"> to assess the scope for Network Rail to improve its efficiency in </w:t>
      </w:r>
      <w:r w:rsidR="002513ED">
        <w:t>this period</w:t>
      </w:r>
      <w:r w:rsidR="00733DE8">
        <w:t>.</w:t>
      </w:r>
    </w:p>
    <w:p w14:paraId="0EF49685" w14:textId="59A45EE0" w:rsidR="00763DEC" w:rsidRDefault="00763DEC" w:rsidP="00F0335D">
      <w:pPr>
        <w:pStyle w:val="ListNumber"/>
        <w:numPr>
          <w:ilvl w:val="0"/>
          <w:numId w:val="0"/>
        </w:numPr>
        <w:spacing w:line="288" w:lineRule="auto"/>
      </w:pPr>
      <w:r>
        <w:t xml:space="preserve">In reaching a </w:t>
      </w:r>
      <w:r w:rsidR="00004793">
        <w:t>decision</w:t>
      </w:r>
      <w:r>
        <w:t xml:space="preserve"> o</w:t>
      </w:r>
      <w:r w:rsidR="00004793">
        <w:t>n</w:t>
      </w:r>
      <w:r>
        <w:t xml:space="preserve"> </w:t>
      </w:r>
      <w:r w:rsidR="008B2316">
        <w:t xml:space="preserve">future funding for the infrastructure manager of </w:t>
      </w:r>
      <w:r w:rsidR="00635574">
        <w:t xml:space="preserve">the national rail network (whether </w:t>
      </w:r>
      <w:r>
        <w:t>Network Rail</w:t>
      </w:r>
      <w:r w:rsidR="00635574">
        <w:t xml:space="preserve">, or as anticipated, </w:t>
      </w:r>
      <w:r w:rsidR="00635574">
        <w:rPr>
          <w:szCs w:val="24"/>
        </w:rPr>
        <w:t xml:space="preserve"> </w:t>
      </w:r>
      <w:r w:rsidR="00A01376">
        <w:rPr>
          <w:szCs w:val="24"/>
        </w:rPr>
        <w:t xml:space="preserve">Great British Railways) </w:t>
      </w:r>
      <w:r>
        <w:t xml:space="preserve">for CP8, we </w:t>
      </w:r>
      <w:r w:rsidR="00004793">
        <w:t>want</w:t>
      </w:r>
      <w:r>
        <w:t xml:space="preserve"> to </w:t>
      </w:r>
      <w:r w:rsidR="00004793">
        <w:t>understand</w:t>
      </w:r>
      <w:r>
        <w:t xml:space="preserve"> how the efficiency of Network Rail’s expenditure compares </w:t>
      </w:r>
      <w:r w:rsidR="00004793">
        <w:t>with</w:t>
      </w:r>
      <w:r>
        <w:t xml:space="preserve"> </w:t>
      </w:r>
      <w:r w:rsidR="00004793">
        <w:t>comparable</w:t>
      </w:r>
      <w:r>
        <w:t xml:space="preserve"> </w:t>
      </w:r>
      <w:r w:rsidR="00733DE8">
        <w:t>international infrastructure managers</w:t>
      </w:r>
      <w:r w:rsidR="00A01376">
        <w:rPr>
          <w:szCs w:val="24"/>
        </w:rPr>
        <w:t xml:space="preserve">, with a particular emphasis </w:t>
      </w:r>
      <w:r w:rsidR="002513ED">
        <w:rPr>
          <w:szCs w:val="24"/>
        </w:rPr>
        <w:t xml:space="preserve">for this work </w:t>
      </w:r>
      <w:r w:rsidR="00A01376">
        <w:rPr>
          <w:szCs w:val="24"/>
        </w:rPr>
        <w:t>on understanding the effect of different levels of vertical integration of infrastructure and train operations across comparators</w:t>
      </w:r>
      <w:r w:rsidRPr="00D512FF">
        <w:rPr>
          <w:szCs w:val="24"/>
        </w:rPr>
        <w:t>.</w:t>
      </w:r>
      <w:r>
        <w:t xml:space="preserve"> This work will complement </w:t>
      </w:r>
      <w:r w:rsidR="00004793">
        <w:t>our</w:t>
      </w:r>
      <w:r>
        <w:t xml:space="preserve"> </w:t>
      </w:r>
      <w:hyperlink r:id="rId26">
        <w:r w:rsidR="00004793" w:rsidRPr="3E10C217">
          <w:rPr>
            <w:rStyle w:val="Hyperlink"/>
          </w:rPr>
          <w:t>regional benchmarking of Network Rail’s maintenance and renewals activities</w:t>
        </w:r>
      </w:hyperlink>
      <w:r w:rsidR="00A12D1B">
        <w:t xml:space="preserve"> and our bottom-up </w:t>
      </w:r>
      <w:hyperlink r:id="rId27">
        <w:r w:rsidR="00A12D1B" w:rsidRPr="3E10C217">
          <w:rPr>
            <w:rStyle w:val="Hyperlink"/>
          </w:rPr>
          <w:t>targeted assurance reviews</w:t>
        </w:r>
      </w:hyperlink>
      <w:r w:rsidR="00A12D1B">
        <w:t xml:space="preserve"> and </w:t>
      </w:r>
      <w:hyperlink r:id="rId28">
        <w:r w:rsidR="00A12D1B" w:rsidRPr="3E10C217">
          <w:rPr>
            <w:rStyle w:val="Hyperlink"/>
          </w:rPr>
          <w:t>independent reporter studies</w:t>
        </w:r>
      </w:hyperlink>
      <w:r w:rsidR="00A12D1B">
        <w:t xml:space="preserve"> that provide bottom-up analysis of the scope for improvements to business activities</w:t>
      </w:r>
      <w:r>
        <w:t>.</w:t>
      </w:r>
    </w:p>
    <w:p w14:paraId="15F5D9FB" w14:textId="26F49AB9" w:rsidR="0088364F" w:rsidRDefault="0088364F" w:rsidP="00F0335D">
      <w:pPr>
        <w:pStyle w:val="ListNumber"/>
        <w:numPr>
          <w:ilvl w:val="0"/>
          <w:numId w:val="0"/>
        </w:numPr>
        <w:spacing w:line="288" w:lineRule="auto"/>
      </w:pPr>
      <w:r>
        <w:rPr>
          <w:szCs w:val="24"/>
        </w:rPr>
        <w:t xml:space="preserve">Because Network Rail is </w:t>
      </w:r>
      <w:r w:rsidR="00835923" w:rsidRPr="00776F35">
        <w:rPr>
          <w:szCs w:val="24"/>
        </w:rPr>
        <w:t xml:space="preserve">a national network monopoly </w:t>
      </w:r>
      <w:r w:rsidR="00835923">
        <w:rPr>
          <w:szCs w:val="24"/>
        </w:rPr>
        <w:t>that has</w:t>
      </w:r>
      <w:r w:rsidR="00835923" w:rsidRPr="00776F35">
        <w:rPr>
          <w:szCs w:val="24"/>
        </w:rPr>
        <w:t xml:space="preserve"> little in the way of direct domestic comparators</w:t>
      </w:r>
      <w:r w:rsidR="00835923">
        <w:rPr>
          <w:szCs w:val="24"/>
        </w:rPr>
        <w:t>, i</w:t>
      </w:r>
      <w:r w:rsidR="00763DEC" w:rsidRPr="00776F35">
        <w:rPr>
          <w:szCs w:val="24"/>
        </w:rPr>
        <w:t>nternational benchmarking is a</w:t>
      </w:r>
      <w:r w:rsidR="00386812" w:rsidRPr="00776F35">
        <w:rPr>
          <w:szCs w:val="24"/>
        </w:rPr>
        <w:t xml:space="preserve"> potentially important</w:t>
      </w:r>
      <w:r w:rsidR="00763DEC" w:rsidRPr="00776F35">
        <w:rPr>
          <w:szCs w:val="24"/>
        </w:rPr>
        <w:t xml:space="preserve"> tool for assess</w:t>
      </w:r>
      <w:r w:rsidR="00776F35" w:rsidRPr="00776F35">
        <w:rPr>
          <w:szCs w:val="24"/>
        </w:rPr>
        <w:t>ing</w:t>
      </w:r>
      <w:r w:rsidR="00763DEC" w:rsidRPr="00776F35">
        <w:rPr>
          <w:szCs w:val="24"/>
        </w:rPr>
        <w:t xml:space="preserve"> the efficiency of </w:t>
      </w:r>
      <w:r>
        <w:rPr>
          <w:szCs w:val="24"/>
        </w:rPr>
        <w:t>the company’s</w:t>
      </w:r>
      <w:r w:rsidR="00763DEC" w:rsidRPr="00776F35">
        <w:rPr>
          <w:szCs w:val="24"/>
        </w:rPr>
        <w:t xml:space="preserve"> costs. </w:t>
      </w:r>
      <w:r w:rsidR="00835923">
        <w:rPr>
          <w:szCs w:val="24"/>
        </w:rPr>
        <w:t>S</w:t>
      </w:r>
      <w:r w:rsidR="00763DEC" w:rsidRPr="00776F35">
        <w:rPr>
          <w:szCs w:val="24"/>
        </w:rPr>
        <w:t xml:space="preserve">imilar railway infrastructure managers </w:t>
      </w:r>
      <w:r w:rsidR="00386812" w:rsidRPr="00776F35">
        <w:rPr>
          <w:szCs w:val="24"/>
        </w:rPr>
        <w:t>across</w:t>
      </w:r>
      <w:r w:rsidR="00763DEC" w:rsidRPr="00776F35">
        <w:rPr>
          <w:szCs w:val="24"/>
        </w:rPr>
        <w:t xml:space="preserve"> continental European</w:t>
      </w:r>
      <w:r w:rsidR="00776F35" w:rsidRPr="00776F35">
        <w:rPr>
          <w:szCs w:val="24"/>
        </w:rPr>
        <w:t xml:space="preserve"> provide </w:t>
      </w:r>
      <w:r>
        <w:rPr>
          <w:szCs w:val="24"/>
        </w:rPr>
        <w:t xml:space="preserve">suitable </w:t>
      </w:r>
      <w:r w:rsidR="00776F35" w:rsidRPr="00776F35">
        <w:rPr>
          <w:szCs w:val="24"/>
        </w:rPr>
        <w:t>scope for such benchmarking</w:t>
      </w:r>
      <w:r>
        <w:rPr>
          <w:szCs w:val="24"/>
        </w:rPr>
        <w:t xml:space="preserve"> and</w:t>
      </w:r>
      <w:r w:rsidR="00776F35" w:rsidRPr="00776F35">
        <w:rPr>
          <w:szCs w:val="24"/>
        </w:rPr>
        <w:t xml:space="preserve"> </w:t>
      </w:r>
      <w:r w:rsidR="00386812" w:rsidRPr="00776F35">
        <w:rPr>
          <w:szCs w:val="24"/>
        </w:rPr>
        <w:t xml:space="preserve">ORR has previously undertaken international cost benchmarking as part of </w:t>
      </w:r>
      <w:r>
        <w:rPr>
          <w:szCs w:val="24"/>
        </w:rPr>
        <w:t>our</w:t>
      </w:r>
      <w:r w:rsidR="00386812" w:rsidRPr="00776F35">
        <w:rPr>
          <w:szCs w:val="24"/>
        </w:rPr>
        <w:t xml:space="preserve"> 2008 and 2013 periodic reviews</w:t>
      </w:r>
      <w:r w:rsidR="00776F35" w:rsidRPr="00776F35">
        <w:rPr>
          <w:szCs w:val="24"/>
        </w:rPr>
        <w:t xml:space="preserve"> (see </w:t>
      </w:r>
      <w:hyperlink r:id="rId29" w:history="1">
        <w:r w:rsidR="00776F35" w:rsidRPr="00811F37">
          <w:rPr>
            <w:rStyle w:val="Hyperlink"/>
          </w:rPr>
          <w:t>PR13 Efficiency Benchmarking of Network Rail using LICB</w:t>
        </w:r>
      </w:hyperlink>
      <w:r w:rsidR="00776F35">
        <w:t xml:space="preserve"> for further details). </w:t>
      </w:r>
    </w:p>
    <w:p w14:paraId="5CF7E917" w14:textId="01D4BA96" w:rsidR="0016661E" w:rsidRDefault="00776F35" w:rsidP="0016661E">
      <w:pPr>
        <w:pStyle w:val="ListNumber"/>
        <w:numPr>
          <w:ilvl w:val="0"/>
          <w:numId w:val="0"/>
        </w:numPr>
        <w:spacing w:line="288" w:lineRule="auto"/>
      </w:pPr>
      <w:r>
        <w:t>We recently</w:t>
      </w:r>
      <w:r w:rsidRPr="00776F35">
        <w:t xml:space="preserve"> </w:t>
      </w:r>
      <w:r w:rsidR="00835923">
        <w:t>commissioned</w:t>
      </w:r>
      <w:r w:rsidRPr="00776F35">
        <w:t xml:space="preserve"> </w:t>
      </w:r>
      <w:r>
        <w:t>Civ</w:t>
      </w:r>
      <w:r w:rsidRPr="00776F35">
        <w:t>ity</w:t>
      </w:r>
      <w:r>
        <w:t xml:space="preserve"> </w:t>
      </w:r>
      <w:r w:rsidRPr="00776F35">
        <w:t xml:space="preserve">to undertake a high-level assessment of the role and benefits of benchmarking in </w:t>
      </w:r>
      <w:r>
        <w:t>our</w:t>
      </w:r>
      <w:r w:rsidRPr="00776F35">
        <w:t xml:space="preserve"> monitoring of Network Rail’s costs and performance</w:t>
      </w:r>
      <w:r w:rsidR="0088364F">
        <w:t>,</w:t>
      </w:r>
      <w:r w:rsidRPr="00776F35">
        <w:t xml:space="preserve"> and to consider the approach, scope and content of benchmarking activities which </w:t>
      </w:r>
      <w:r>
        <w:t>we can pursue</w:t>
      </w:r>
      <w:r w:rsidRPr="00776F35">
        <w:t>.</w:t>
      </w:r>
      <w:r>
        <w:t xml:space="preserve"> </w:t>
      </w:r>
      <w:r w:rsidR="00835923">
        <w:t xml:space="preserve">Civity </w:t>
      </w:r>
      <w:r>
        <w:t xml:space="preserve">found that there is scope </w:t>
      </w:r>
      <w:r w:rsidR="00835923">
        <w:t xml:space="preserve">for </w:t>
      </w:r>
      <w:r w:rsidR="001E546D">
        <w:t xml:space="preserve">international </w:t>
      </w:r>
      <w:r w:rsidR="0088364F">
        <w:t xml:space="preserve">cost </w:t>
      </w:r>
      <w:r>
        <w:t>benchmarking utilising existing datasets</w:t>
      </w:r>
      <w:r w:rsidR="0016661E">
        <w:t>.</w:t>
      </w:r>
      <w:r w:rsidR="0016661E" w:rsidRPr="0016661E">
        <w:t xml:space="preserve"> </w:t>
      </w:r>
      <w:r w:rsidR="0016661E">
        <w:t>Civity’s report is a</w:t>
      </w:r>
      <w:r w:rsidR="007F0EE8">
        <w:t>vailable on request</w:t>
      </w:r>
      <w:r w:rsidR="0016661E">
        <w:t>.</w:t>
      </w:r>
      <w:r w:rsidR="0016661E" w:rsidRPr="00776F35">
        <w:t xml:space="preserve"> </w:t>
      </w:r>
    </w:p>
    <w:p w14:paraId="57D2B838" w14:textId="227D6BB4" w:rsidR="0016661E" w:rsidRDefault="00733DE8" w:rsidP="0016661E">
      <w:pPr>
        <w:pStyle w:val="ListNumber"/>
        <w:numPr>
          <w:ilvl w:val="0"/>
          <w:numId w:val="0"/>
        </w:numPr>
        <w:spacing w:line="288" w:lineRule="auto"/>
      </w:pPr>
      <w:r>
        <w:t>The Civity report also f</w:t>
      </w:r>
      <w:r w:rsidR="0073071A">
        <w:t>ound</w:t>
      </w:r>
      <w:r>
        <w:t xml:space="preserve"> </w:t>
      </w:r>
      <w:r w:rsidR="00776F35">
        <w:t>that i</w:t>
      </w:r>
      <w:r w:rsidR="00776F35" w:rsidRPr="00776F35">
        <w:t>nternational peers offer the opportunity to learn about new approaches and technologies</w:t>
      </w:r>
      <w:r w:rsidR="0088364F">
        <w:t>.</w:t>
      </w:r>
      <w:r w:rsidR="00835923" w:rsidRPr="00835923">
        <w:t xml:space="preserve"> </w:t>
      </w:r>
      <w:r>
        <w:t xml:space="preserve">We are also interested in learning </w:t>
      </w:r>
      <w:r w:rsidR="007F0EE8">
        <w:t xml:space="preserve">about </w:t>
      </w:r>
      <w:r>
        <w:t>these practical insights wherever possible – i.e. getting beneath the data</w:t>
      </w:r>
      <w:r w:rsidR="00294DAA">
        <w:t xml:space="preserve"> </w:t>
      </w:r>
      <w:r w:rsidR="00294DAA" w:rsidRPr="00294DAA">
        <w:t>to establish what practical options might exist for Network Rail to improve how they operate or undertake capital projects</w:t>
      </w:r>
      <w:r>
        <w:t>.</w:t>
      </w:r>
      <w:r w:rsidR="0016661E">
        <w:t xml:space="preserve"> </w:t>
      </w:r>
    </w:p>
    <w:p w14:paraId="60BBA6C3" w14:textId="5620855C" w:rsidR="0016661E" w:rsidRPr="00776F35" w:rsidRDefault="0016661E" w:rsidP="0016661E">
      <w:pPr>
        <w:pStyle w:val="ListNumber"/>
        <w:numPr>
          <w:ilvl w:val="0"/>
          <w:numId w:val="0"/>
        </w:numPr>
        <w:spacing w:line="288" w:lineRule="auto"/>
      </w:pPr>
    </w:p>
    <w:p w14:paraId="0B620415" w14:textId="77777777" w:rsidR="008C4C5F" w:rsidRDefault="008C4C5F" w:rsidP="00F20E70">
      <w:pPr>
        <w:pStyle w:val="Heading3"/>
      </w:pPr>
      <w:bookmarkStart w:id="17" w:name="_Toc111551920"/>
    </w:p>
    <w:p w14:paraId="74919ACA" w14:textId="21D53514" w:rsidR="00F20E70" w:rsidRDefault="00F20E70" w:rsidP="00F20E70">
      <w:pPr>
        <w:pStyle w:val="Heading3"/>
      </w:pPr>
      <w:r>
        <w:t>2.2 Project Objectives and Scope</w:t>
      </w:r>
      <w:bookmarkEnd w:id="17"/>
    </w:p>
    <w:p w14:paraId="0F6B60DA" w14:textId="31C732EA" w:rsidR="0048293D" w:rsidRDefault="0048293D" w:rsidP="00763DEC">
      <w:pPr>
        <w:rPr>
          <w:b/>
          <w:bCs/>
          <w:szCs w:val="24"/>
        </w:rPr>
      </w:pPr>
      <w:r>
        <w:rPr>
          <w:b/>
          <w:bCs/>
          <w:szCs w:val="24"/>
        </w:rPr>
        <w:t>Objectives</w:t>
      </w:r>
    </w:p>
    <w:p w14:paraId="6DFE6A52" w14:textId="372F53CC" w:rsidR="00AE2EA2" w:rsidRDefault="00AE2EA2" w:rsidP="00AE2EA2">
      <w:pPr>
        <w:rPr>
          <w:szCs w:val="24"/>
        </w:rPr>
      </w:pPr>
      <w:r>
        <w:rPr>
          <w:szCs w:val="24"/>
        </w:rPr>
        <w:t>The objectives of this project are to:</w:t>
      </w:r>
    </w:p>
    <w:p w14:paraId="0FA25EC9" w14:textId="21EE8B8A" w:rsidR="0048293D" w:rsidRPr="00D512FF" w:rsidRDefault="0048293D" w:rsidP="00CE68FA">
      <w:pPr>
        <w:numPr>
          <w:ilvl w:val="0"/>
          <w:numId w:val="19"/>
        </w:numPr>
      </w:pPr>
      <w:r>
        <w:t xml:space="preserve">Construct a </w:t>
      </w:r>
      <w:r w:rsidR="00776F35">
        <w:t xml:space="preserve">robust </w:t>
      </w:r>
      <w:r w:rsidR="00827BF7">
        <w:t>high-quality</w:t>
      </w:r>
      <w:r w:rsidR="00AE2EA2">
        <w:t xml:space="preserve"> </w:t>
      </w:r>
      <w:r>
        <w:t xml:space="preserve">dataset of </w:t>
      </w:r>
      <w:r w:rsidR="00733DE8">
        <w:t xml:space="preserve">comparable </w:t>
      </w:r>
      <w:r>
        <w:t xml:space="preserve">railway </w:t>
      </w:r>
      <w:r w:rsidR="00635574">
        <w:t xml:space="preserve">infrastructure </w:t>
      </w:r>
      <w:r>
        <w:t>managers’ expenditure (including that of Great Britain) that can be used for top-down cost benchmarking</w:t>
      </w:r>
      <w:r w:rsidR="00827BF7">
        <w:t>,</w:t>
      </w:r>
    </w:p>
    <w:p w14:paraId="16D608BD" w14:textId="25346611" w:rsidR="00A01376" w:rsidRDefault="0048293D" w:rsidP="00CE68FA">
      <w:pPr>
        <w:numPr>
          <w:ilvl w:val="0"/>
          <w:numId w:val="19"/>
        </w:numPr>
        <w:rPr>
          <w:szCs w:val="24"/>
        </w:rPr>
      </w:pPr>
      <w:r w:rsidRPr="00D512FF">
        <w:rPr>
          <w:szCs w:val="24"/>
        </w:rPr>
        <w:t>Conduct comprehensive top-down cost benchmarking analys</w:t>
      </w:r>
      <w:r w:rsidR="00776F35">
        <w:rPr>
          <w:szCs w:val="24"/>
        </w:rPr>
        <w:t>i</w:t>
      </w:r>
      <w:r w:rsidRPr="00D512FF">
        <w:rPr>
          <w:szCs w:val="24"/>
        </w:rPr>
        <w:t xml:space="preserve">s of selected </w:t>
      </w:r>
      <w:r w:rsidR="00733DE8">
        <w:rPr>
          <w:szCs w:val="24"/>
        </w:rPr>
        <w:t>international</w:t>
      </w:r>
      <w:r w:rsidR="00733DE8" w:rsidRPr="00D512FF">
        <w:rPr>
          <w:szCs w:val="24"/>
        </w:rPr>
        <w:t xml:space="preserve"> </w:t>
      </w:r>
      <w:r w:rsidRPr="00D512FF">
        <w:rPr>
          <w:szCs w:val="24"/>
        </w:rPr>
        <w:t xml:space="preserve">railway infrastructure managers’ </w:t>
      </w:r>
      <w:r w:rsidR="00A01376">
        <w:rPr>
          <w:szCs w:val="24"/>
        </w:rPr>
        <w:t xml:space="preserve">expenditure (covering </w:t>
      </w:r>
      <w:r w:rsidR="002F1135">
        <w:rPr>
          <w:szCs w:val="24"/>
        </w:rPr>
        <w:t xml:space="preserve">operations, support, </w:t>
      </w:r>
      <w:r w:rsidRPr="00D512FF">
        <w:rPr>
          <w:szCs w:val="24"/>
        </w:rPr>
        <w:t>maintenance and renewals</w:t>
      </w:r>
      <w:r w:rsidRPr="00D512FF" w:rsidDel="00A01376">
        <w:rPr>
          <w:szCs w:val="24"/>
        </w:rPr>
        <w:t xml:space="preserve"> </w:t>
      </w:r>
      <w:r w:rsidR="00A01376">
        <w:rPr>
          <w:szCs w:val="24"/>
        </w:rPr>
        <w:t>activities) to establish the relative levels of efficiency</w:t>
      </w:r>
      <w:r w:rsidR="00827BF7">
        <w:rPr>
          <w:szCs w:val="24"/>
        </w:rPr>
        <w:t>,</w:t>
      </w:r>
      <w:r w:rsidR="00E41092">
        <w:rPr>
          <w:szCs w:val="24"/>
        </w:rPr>
        <w:t xml:space="preserve"> </w:t>
      </w:r>
    </w:p>
    <w:p w14:paraId="3622606A" w14:textId="162C79C0" w:rsidR="00696041" w:rsidRPr="00696041" w:rsidRDefault="00A01376" w:rsidP="00CE68FA">
      <w:pPr>
        <w:numPr>
          <w:ilvl w:val="0"/>
          <w:numId w:val="19"/>
        </w:numPr>
        <w:rPr>
          <w:b/>
          <w:szCs w:val="24"/>
        </w:rPr>
      </w:pPr>
      <w:r w:rsidRPr="00A01376">
        <w:rPr>
          <w:szCs w:val="24"/>
        </w:rPr>
        <w:t xml:space="preserve">Determine the effect of different levels of vertical integration of infrastructure management and train operations on the </w:t>
      </w:r>
      <w:r>
        <w:rPr>
          <w:szCs w:val="24"/>
        </w:rPr>
        <w:t xml:space="preserve">efficiency </w:t>
      </w:r>
      <w:r w:rsidRPr="00A01376">
        <w:rPr>
          <w:szCs w:val="24"/>
        </w:rPr>
        <w:t>of rail infrastructure managers</w:t>
      </w:r>
      <w:r w:rsidR="00827BF7">
        <w:rPr>
          <w:szCs w:val="24"/>
        </w:rPr>
        <w:t>,</w:t>
      </w:r>
      <w:r w:rsidRPr="00A01376">
        <w:rPr>
          <w:szCs w:val="24"/>
        </w:rPr>
        <w:t xml:space="preserve"> </w:t>
      </w:r>
    </w:p>
    <w:p w14:paraId="06D9634F" w14:textId="3933A90F" w:rsidR="00A01376" w:rsidRPr="00A400B1" w:rsidRDefault="00696041" w:rsidP="00CE68FA">
      <w:pPr>
        <w:numPr>
          <w:ilvl w:val="0"/>
          <w:numId w:val="19"/>
        </w:numPr>
        <w:rPr>
          <w:b/>
          <w:szCs w:val="24"/>
        </w:rPr>
      </w:pPr>
      <w:r>
        <w:rPr>
          <w:szCs w:val="24"/>
        </w:rPr>
        <w:t xml:space="preserve">Understand </w:t>
      </w:r>
      <w:r w:rsidR="0096719B" w:rsidRPr="0096719B">
        <w:rPr>
          <w:szCs w:val="24"/>
        </w:rPr>
        <w:t>the pace at which relative efficiency gaps have been closed or widened by individual infrastructure managers using a comparable technique to measure and quantify efficiency across the data set, and</w:t>
      </w:r>
    </w:p>
    <w:p w14:paraId="479F2A95" w14:textId="74CB2F7F" w:rsidR="0048293D" w:rsidRPr="00A01376" w:rsidRDefault="00262715" w:rsidP="00CE68FA">
      <w:pPr>
        <w:numPr>
          <w:ilvl w:val="0"/>
          <w:numId w:val="19"/>
        </w:numPr>
        <w:rPr>
          <w:b/>
          <w:bCs/>
          <w:szCs w:val="24"/>
        </w:rPr>
      </w:pPr>
      <w:r w:rsidRPr="00A01376">
        <w:rPr>
          <w:szCs w:val="24"/>
        </w:rPr>
        <w:t>Explain and interpret</w:t>
      </w:r>
      <w:r w:rsidR="0048293D" w:rsidRPr="00A01376">
        <w:rPr>
          <w:szCs w:val="24"/>
        </w:rPr>
        <w:t xml:space="preserve"> the findings of th</w:t>
      </w:r>
      <w:r w:rsidR="00E41092" w:rsidRPr="00A01376">
        <w:rPr>
          <w:szCs w:val="24"/>
        </w:rPr>
        <w:t>is analysi</w:t>
      </w:r>
      <w:r w:rsidR="0048293D" w:rsidRPr="00A01376">
        <w:rPr>
          <w:szCs w:val="24"/>
        </w:rPr>
        <w:t>s in</w:t>
      </w:r>
      <w:r w:rsidRPr="00A01376">
        <w:rPr>
          <w:szCs w:val="24"/>
        </w:rPr>
        <w:t xml:space="preserve"> a </w:t>
      </w:r>
      <w:r w:rsidR="0048293D" w:rsidRPr="00A01376">
        <w:rPr>
          <w:szCs w:val="24"/>
        </w:rPr>
        <w:t>report</w:t>
      </w:r>
      <w:r w:rsidR="00733DE8" w:rsidRPr="00A01376">
        <w:rPr>
          <w:szCs w:val="24"/>
        </w:rPr>
        <w:t xml:space="preserve">, including practical insights </w:t>
      </w:r>
      <w:r w:rsidR="00A01376">
        <w:rPr>
          <w:szCs w:val="24"/>
        </w:rPr>
        <w:t>about the reasons for differing levels of efficiency</w:t>
      </w:r>
      <w:r w:rsidR="0048293D" w:rsidRPr="00A01376">
        <w:rPr>
          <w:szCs w:val="24"/>
        </w:rPr>
        <w:t>.</w:t>
      </w:r>
    </w:p>
    <w:p w14:paraId="6B374082" w14:textId="35E997C6" w:rsidR="0048293D" w:rsidRPr="00D512FF" w:rsidRDefault="0048293D" w:rsidP="00763DEC">
      <w:pPr>
        <w:rPr>
          <w:b/>
          <w:bCs/>
          <w:szCs w:val="24"/>
        </w:rPr>
      </w:pPr>
      <w:r w:rsidRPr="00D512FF">
        <w:rPr>
          <w:b/>
          <w:bCs/>
          <w:szCs w:val="24"/>
        </w:rPr>
        <w:t>Scope of work</w:t>
      </w:r>
    </w:p>
    <w:p w14:paraId="7B67E282" w14:textId="0F6A234E" w:rsidR="00763DEC" w:rsidRPr="00E91A91" w:rsidRDefault="00763DEC" w:rsidP="0016661E">
      <w:r>
        <w:t xml:space="preserve">We require a report benchmarking Network Rail’s </w:t>
      </w:r>
      <w:r w:rsidR="00FB0A6C">
        <w:t xml:space="preserve">operations, support, </w:t>
      </w:r>
      <w:r>
        <w:t xml:space="preserve">maintenance and renewals expenditure against </w:t>
      </w:r>
      <w:r w:rsidR="0016661E">
        <w:t xml:space="preserve">suitably selected international </w:t>
      </w:r>
      <w:r>
        <w:t>railway infrastructure managers. This is to help us</w:t>
      </w:r>
      <w:r w:rsidR="008C4C5F">
        <w:t xml:space="preserve"> to</w:t>
      </w:r>
      <w:r>
        <w:t xml:space="preserve"> understand whether and to what extent there is a gap between the </w:t>
      </w:r>
      <w:r w:rsidR="0096719B">
        <w:t xml:space="preserve">cost and </w:t>
      </w:r>
      <w:r>
        <w:t xml:space="preserve">efficiency of Network Rail’s </w:t>
      </w:r>
      <w:r w:rsidR="0096719B">
        <w:t xml:space="preserve">operations, support, </w:t>
      </w:r>
      <w:r>
        <w:t>maintenance and renewals expenditure and that of comparators</w:t>
      </w:r>
      <w:r w:rsidR="0096719B">
        <w:t xml:space="preserve"> and the reasons for any differences so we can identify potential efficiency or activity opportunities</w:t>
      </w:r>
      <w:r>
        <w:t xml:space="preserve">. We invite bidders to </w:t>
      </w:r>
      <w:r w:rsidR="00E41092">
        <w:t xml:space="preserve">explain their proposed approach, together with its strengths and limitations. </w:t>
      </w:r>
    </w:p>
    <w:p w14:paraId="790737C7" w14:textId="1EB3BB9E" w:rsidR="00763DEC" w:rsidRPr="00E91A91" w:rsidRDefault="00763DEC" w:rsidP="00763DEC">
      <w:pPr>
        <w:rPr>
          <w:szCs w:val="24"/>
        </w:rPr>
      </w:pPr>
      <w:r w:rsidRPr="00E91A91">
        <w:rPr>
          <w:szCs w:val="24"/>
        </w:rPr>
        <w:t xml:space="preserve">The report should </w:t>
      </w:r>
      <w:r w:rsidR="00337204">
        <w:rPr>
          <w:szCs w:val="24"/>
        </w:rPr>
        <w:t>include</w:t>
      </w:r>
      <w:r w:rsidRPr="00E91A91">
        <w:rPr>
          <w:szCs w:val="24"/>
        </w:rPr>
        <w:t>:</w:t>
      </w:r>
    </w:p>
    <w:p w14:paraId="24F3B6A5" w14:textId="1FB6AD57" w:rsidR="00763DEC" w:rsidRDefault="004F38A9" w:rsidP="00CE68FA">
      <w:pPr>
        <w:numPr>
          <w:ilvl w:val="0"/>
          <w:numId w:val="18"/>
        </w:numPr>
        <w:spacing w:line="240" w:lineRule="auto"/>
        <w:rPr>
          <w:szCs w:val="24"/>
        </w:rPr>
      </w:pPr>
      <w:r>
        <w:rPr>
          <w:szCs w:val="24"/>
        </w:rPr>
        <w:t>a</w:t>
      </w:r>
      <w:r w:rsidR="00E41092">
        <w:rPr>
          <w:szCs w:val="24"/>
        </w:rPr>
        <w:t xml:space="preserve"> quantified analysis</w:t>
      </w:r>
      <w:r w:rsidR="00763DEC" w:rsidRPr="00E91A91">
        <w:rPr>
          <w:szCs w:val="24"/>
        </w:rPr>
        <w:t xml:space="preserve"> of the </w:t>
      </w:r>
      <w:r w:rsidR="00E41092">
        <w:rPr>
          <w:szCs w:val="24"/>
        </w:rPr>
        <w:t>relative efficiency of Network Rail with its peer group, together</w:t>
      </w:r>
      <w:r w:rsidR="00763DEC" w:rsidRPr="00E91A91">
        <w:rPr>
          <w:szCs w:val="24"/>
        </w:rPr>
        <w:t xml:space="preserve"> with clear workings showing how </w:t>
      </w:r>
      <w:r w:rsidR="00E41092">
        <w:rPr>
          <w:szCs w:val="24"/>
        </w:rPr>
        <w:t>the analysis was produced</w:t>
      </w:r>
      <w:r w:rsidR="00827BF7">
        <w:rPr>
          <w:szCs w:val="24"/>
        </w:rPr>
        <w:t>,</w:t>
      </w:r>
    </w:p>
    <w:p w14:paraId="68B96A8E" w14:textId="594CA23B" w:rsidR="00345FBC" w:rsidRPr="00E91A91" w:rsidRDefault="00345FBC" w:rsidP="00CE68FA">
      <w:pPr>
        <w:numPr>
          <w:ilvl w:val="0"/>
          <w:numId w:val="18"/>
        </w:numPr>
        <w:spacing w:line="240" w:lineRule="auto"/>
        <w:rPr>
          <w:szCs w:val="24"/>
        </w:rPr>
      </w:pPr>
      <w:r>
        <w:rPr>
          <w:szCs w:val="24"/>
        </w:rPr>
        <w:t>analysis into the observable differences between railways with and without vertically integrated systems</w:t>
      </w:r>
      <w:r w:rsidR="00827BF7">
        <w:rPr>
          <w:szCs w:val="24"/>
        </w:rPr>
        <w:t>,</w:t>
      </w:r>
    </w:p>
    <w:p w14:paraId="32A2F30F" w14:textId="3647487D" w:rsidR="00A01376" w:rsidRDefault="00696041" w:rsidP="00CE68FA">
      <w:pPr>
        <w:numPr>
          <w:ilvl w:val="0"/>
          <w:numId w:val="18"/>
        </w:numPr>
        <w:spacing w:line="240" w:lineRule="auto"/>
        <w:rPr>
          <w:szCs w:val="24"/>
        </w:rPr>
      </w:pPr>
      <w:r>
        <w:rPr>
          <w:szCs w:val="24"/>
        </w:rPr>
        <w:lastRenderedPageBreak/>
        <w:t xml:space="preserve">an examination of </w:t>
      </w:r>
      <w:r w:rsidR="00A01376" w:rsidRPr="00A01376">
        <w:rPr>
          <w:szCs w:val="24"/>
        </w:rPr>
        <w:t xml:space="preserve">the effect of different levels of vertical integration of infrastructure management and train operations on the </w:t>
      </w:r>
      <w:r>
        <w:rPr>
          <w:szCs w:val="24"/>
        </w:rPr>
        <w:t xml:space="preserve">relative </w:t>
      </w:r>
      <w:r w:rsidR="0003200D">
        <w:rPr>
          <w:szCs w:val="24"/>
        </w:rPr>
        <w:t xml:space="preserve">cost and </w:t>
      </w:r>
      <w:r w:rsidR="00A01376">
        <w:rPr>
          <w:szCs w:val="24"/>
        </w:rPr>
        <w:t xml:space="preserve">efficiency </w:t>
      </w:r>
      <w:r w:rsidR="00A01376" w:rsidRPr="00A01376">
        <w:rPr>
          <w:szCs w:val="24"/>
        </w:rPr>
        <w:t>of rail infrastructure managers</w:t>
      </w:r>
      <w:r w:rsidR="00827BF7">
        <w:rPr>
          <w:szCs w:val="24"/>
        </w:rPr>
        <w:t>,</w:t>
      </w:r>
    </w:p>
    <w:p w14:paraId="34B29A67" w14:textId="3561D797" w:rsidR="00763DEC" w:rsidRPr="00E91A91" w:rsidRDefault="004F38A9" w:rsidP="00CE68FA">
      <w:pPr>
        <w:numPr>
          <w:ilvl w:val="0"/>
          <w:numId w:val="18"/>
        </w:numPr>
        <w:spacing w:line="240" w:lineRule="auto"/>
        <w:rPr>
          <w:szCs w:val="24"/>
        </w:rPr>
      </w:pPr>
      <w:r>
        <w:rPr>
          <w:szCs w:val="24"/>
        </w:rPr>
        <w:t>a</w:t>
      </w:r>
      <w:r w:rsidR="00763DEC" w:rsidRPr="00E91A91">
        <w:rPr>
          <w:szCs w:val="24"/>
        </w:rPr>
        <w:t xml:space="preserve"> detailed explanation of the methodology used for the benchmarking and why it was chosen</w:t>
      </w:r>
      <w:r w:rsidR="00491004">
        <w:rPr>
          <w:szCs w:val="24"/>
        </w:rPr>
        <w:t>, and</w:t>
      </w:r>
    </w:p>
    <w:p w14:paraId="42DA3FAE" w14:textId="70315AD0" w:rsidR="00763DEC" w:rsidRPr="00E91A91" w:rsidRDefault="004F38A9" w:rsidP="00CE68FA">
      <w:pPr>
        <w:numPr>
          <w:ilvl w:val="0"/>
          <w:numId w:val="18"/>
        </w:numPr>
        <w:spacing w:line="240" w:lineRule="auto"/>
        <w:rPr>
          <w:szCs w:val="24"/>
        </w:rPr>
      </w:pPr>
      <w:r>
        <w:rPr>
          <w:szCs w:val="24"/>
        </w:rPr>
        <w:t>insights about the reasons for differences in relative efficiency across the peer group.</w:t>
      </w:r>
    </w:p>
    <w:p w14:paraId="3D56B496" w14:textId="2C4DAA6A" w:rsidR="00763DEC" w:rsidRPr="00056B83" w:rsidRDefault="00763DEC" w:rsidP="00370CA1">
      <w:pPr>
        <w:rPr>
          <w:szCs w:val="24"/>
        </w:rPr>
      </w:pPr>
      <w:r w:rsidRPr="00E91A91">
        <w:rPr>
          <w:szCs w:val="24"/>
        </w:rPr>
        <w:t>We also requir</w:t>
      </w:r>
      <w:r w:rsidR="004F38A9">
        <w:rPr>
          <w:szCs w:val="24"/>
        </w:rPr>
        <w:t>e s</w:t>
      </w:r>
      <w:r w:rsidRPr="00E91A91">
        <w:rPr>
          <w:szCs w:val="24"/>
        </w:rPr>
        <w:t>preadsheets containing the data used in the benchmarking analysis in a format that is</w:t>
      </w:r>
      <w:r w:rsidR="00370CA1">
        <w:rPr>
          <w:szCs w:val="24"/>
        </w:rPr>
        <w:t xml:space="preserve"> e</w:t>
      </w:r>
      <w:r w:rsidRPr="00E91A91">
        <w:rPr>
          <w:szCs w:val="24"/>
        </w:rPr>
        <w:t>asy to understand</w:t>
      </w:r>
      <w:r w:rsidR="00370CA1">
        <w:rPr>
          <w:szCs w:val="24"/>
        </w:rPr>
        <w:t xml:space="preserve"> and c</w:t>
      </w:r>
      <w:r w:rsidRPr="00E91A91">
        <w:rPr>
          <w:szCs w:val="24"/>
        </w:rPr>
        <w:t>learly defined</w:t>
      </w:r>
      <w:r w:rsidRPr="00056B83">
        <w:rPr>
          <w:szCs w:val="24"/>
        </w:rPr>
        <w:t>.</w:t>
      </w:r>
    </w:p>
    <w:p w14:paraId="2DBD4249" w14:textId="64FC506C" w:rsidR="00763DEC" w:rsidRPr="00E91A91" w:rsidRDefault="00763DEC" w:rsidP="00763DEC">
      <w:pPr>
        <w:rPr>
          <w:color w:val="000000"/>
          <w:szCs w:val="24"/>
        </w:rPr>
      </w:pPr>
      <w:r w:rsidRPr="00056B83">
        <w:rPr>
          <w:color w:val="000000"/>
          <w:szCs w:val="24"/>
        </w:rPr>
        <w:t>In undertaking the work, the contractor will need to:</w:t>
      </w:r>
    </w:p>
    <w:p w14:paraId="021ACD92" w14:textId="0E12896B" w:rsidR="00056B83" w:rsidRDefault="00E93D30" w:rsidP="00CE68FA">
      <w:pPr>
        <w:numPr>
          <w:ilvl w:val="0"/>
          <w:numId w:val="17"/>
        </w:numPr>
        <w:spacing w:line="240" w:lineRule="auto"/>
        <w:rPr>
          <w:color w:val="000000"/>
          <w:szCs w:val="24"/>
        </w:rPr>
      </w:pPr>
      <w:r>
        <w:rPr>
          <w:color w:val="000000"/>
          <w:szCs w:val="24"/>
        </w:rPr>
        <w:t xml:space="preserve">make </w:t>
      </w:r>
      <w:r w:rsidR="00056B83">
        <w:rPr>
          <w:color w:val="000000"/>
          <w:szCs w:val="24"/>
        </w:rPr>
        <w:t xml:space="preserve">use </w:t>
      </w:r>
      <w:r>
        <w:rPr>
          <w:color w:val="000000"/>
          <w:szCs w:val="24"/>
        </w:rPr>
        <w:t xml:space="preserve">of the extensive </w:t>
      </w:r>
      <w:r w:rsidR="00056B83">
        <w:rPr>
          <w:color w:val="000000"/>
          <w:szCs w:val="24"/>
        </w:rPr>
        <w:t xml:space="preserve">publicly available information for Network Rail, </w:t>
      </w:r>
      <w:r>
        <w:rPr>
          <w:color w:val="000000"/>
          <w:szCs w:val="24"/>
        </w:rPr>
        <w:t>including</w:t>
      </w:r>
      <w:r w:rsidR="00056B83">
        <w:rPr>
          <w:color w:val="000000"/>
          <w:szCs w:val="24"/>
        </w:rPr>
        <w:t xml:space="preserve"> its </w:t>
      </w:r>
      <w:hyperlink r:id="rId30" w:history="1">
        <w:r w:rsidR="00056B83">
          <w:rPr>
            <w:rStyle w:val="Hyperlink"/>
            <w:szCs w:val="24"/>
          </w:rPr>
          <w:t>Regulatory Financial Statements</w:t>
        </w:r>
      </w:hyperlink>
      <w:r w:rsidR="00056B83">
        <w:rPr>
          <w:color w:val="000000"/>
          <w:szCs w:val="24"/>
        </w:rPr>
        <w:t>. Whilst we encourage collaborative engagement with Network Rail as part of this work, we do not expect the study to require significant input by Network Rail to support data gathering and analysis.</w:t>
      </w:r>
    </w:p>
    <w:p w14:paraId="50A4AF01" w14:textId="7527129A" w:rsidR="00763DEC" w:rsidRPr="00E91A91" w:rsidRDefault="00485F4A" w:rsidP="00CE68FA">
      <w:pPr>
        <w:numPr>
          <w:ilvl w:val="0"/>
          <w:numId w:val="17"/>
        </w:numPr>
        <w:spacing w:line="240" w:lineRule="auto"/>
        <w:rPr>
          <w:color w:val="000000"/>
          <w:szCs w:val="24"/>
        </w:rPr>
      </w:pPr>
      <w:r>
        <w:rPr>
          <w:color w:val="000000"/>
          <w:szCs w:val="24"/>
        </w:rPr>
        <w:t>p</w:t>
      </w:r>
      <w:r w:rsidR="00763DEC">
        <w:rPr>
          <w:color w:val="000000"/>
          <w:szCs w:val="24"/>
        </w:rPr>
        <w:t xml:space="preserve">rovide cost data that is </w:t>
      </w:r>
      <w:r w:rsidR="00056B83">
        <w:rPr>
          <w:color w:val="000000"/>
          <w:szCs w:val="24"/>
        </w:rPr>
        <w:t xml:space="preserve">sufficiently </w:t>
      </w:r>
      <w:r w:rsidR="00763DEC">
        <w:rPr>
          <w:color w:val="000000"/>
          <w:szCs w:val="24"/>
        </w:rPr>
        <w:t>defined to</w:t>
      </w:r>
      <w:r w:rsidR="00763DEC" w:rsidRPr="00E91A91">
        <w:rPr>
          <w:color w:val="000000"/>
          <w:szCs w:val="24"/>
        </w:rPr>
        <w:t xml:space="preserve"> enable like</w:t>
      </w:r>
      <w:r w:rsidR="00835923">
        <w:rPr>
          <w:color w:val="000000"/>
          <w:szCs w:val="24"/>
        </w:rPr>
        <w:t>-</w:t>
      </w:r>
      <w:r w:rsidR="00763DEC" w:rsidRPr="00E91A91">
        <w:rPr>
          <w:color w:val="000000"/>
          <w:szCs w:val="24"/>
        </w:rPr>
        <w:t>for</w:t>
      </w:r>
      <w:r w:rsidR="00835923">
        <w:rPr>
          <w:color w:val="000000"/>
          <w:szCs w:val="24"/>
        </w:rPr>
        <w:t>-</w:t>
      </w:r>
      <w:r w:rsidR="00763DEC" w:rsidRPr="00E91A91">
        <w:rPr>
          <w:color w:val="000000"/>
          <w:szCs w:val="24"/>
        </w:rPr>
        <w:t xml:space="preserve">like comparisons </w:t>
      </w:r>
      <w:r w:rsidR="00763DEC">
        <w:rPr>
          <w:color w:val="000000"/>
          <w:szCs w:val="24"/>
        </w:rPr>
        <w:t>and explain</w:t>
      </w:r>
      <w:r w:rsidR="00763DEC" w:rsidRPr="00E91A91">
        <w:rPr>
          <w:color w:val="000000"/>
          <w:szCs w:val="24"/>
        </w:rPr>
        <w:t xml:space="preserve"> any normalisation adjustments that have been made to make the data consistent</w:t>
      </w:r>
      <w:r w:rsidR="0003200D">
        <w:rPr>
          <w:color w:val="000000"/>
          <w:szCs w:val="24"/>
        </w:rPr>
        <w:t>,</w:t>
      </w:r>
    </w:p>
    <w:p w14:paraId="546AC245" w14:textId="2159DD6E" w:rsidR="00763DEC" w:rsidRPr="00E91A91" w:rsidRDefault="00485F4A" w:rsidP="00CE68FA">
      <w:pPr>
        <w:numPr>
          <w:ilvl w:val="0"/>
          <w:numId w:val="17"/>
        </w:numPr>
        <w:spacing w:line="240" w:lineRule="auto"/>
        <w:rPr>
          <w:color w:val="000000"/>
        </w:rPr>
      </w:pPr>
      <w:r w:rsidRPr="3E10C217">
        <w:rPr>
          <w:color w:val="000000" w:themeColor="text1"/>
        </w:rPr>
        <w:t>i</w:t>
      </w:r>
      <w:r w:rsidR="00763DEC" w:rsidRPr="3E10C217">
        <w:rPr>
          <w:color w:val="000000" w:themeColor="text1"/>
        </w:rPr>
        <w:t xml:space="preserve">deally use </w:t>
      </w:r>
      <w:r w:rsidR="00B51487" w:rsidRPr="3E10C217">
        <w:rPr>
          <w:color w:val="000000" w:themeColor="text1"/>
        </w:rPr>
        <w:t>several</w:t>
      </w:r>
      <w:r w:rsidR="00763DEC" w:rsidRPr="3E10C217">
        <w:rPr>
          <w:color w:val="000000" w:themeColor="text1"/>
        </w:rPr>
        <w:t xml:space="preserve"> years of historical data. The tender should make it clear what the contractor believes is feasible and the approach it will take regarding this.</w:t>
      </w:r>
    </w:p>
    <w:p w14:paraId="1EABA79C" w14:textId="76EC17A4" w:rsidR="00763DEC" w:rsidRPr="00E91A91" w:rsidRDefault="00485F4A" w:rsidP="00CE68FA">
      <w:pPr>
        <w:numPr>
          <w:ilvl w:val="0"/>
          <w:numId w:val="17"/>
        </w:numPr>
        <w:spacing w:line="240" w:lineRule="auto"/>
        <w:rPr>
          <w:color w:val="000000"/>
          <w:szCs w:val="24"/>
        </w:rPr>
      </w:pPr>
      <w:r>
        <w:rPr>
          <w:color w:val="000000"/>
          <w:szCs w:val="24"/>
        </w:rPr>
        <w:t>e</w:t>
      </w:r>
      <w:r w:rsidR="00763DEC" w:rsidRPr="00E91A91">
        <w:rPr>
          <w:color w:val="000000"/>
          <w:szCs w:val="24"/>
        </w:rPr>
        <w:t xml:space="preserve">nsure that for vertically integrated railways the data used </w:t>
      </w:r>
      <w:r w:rsidR="00A01376">
        <w:rPr>
          <w:color w:val="000000"/>
          <w:szCs w:val="24"/>
        </w:rPr>
        <w:t>correctly separates</w:t>
      </w:r>
      <w:r w:rsidR="00763DEC" w:rsidRPr="00E91A91">
        <w:rPr>
          <w:color w:val="000000"/>
          <w:szCs w:val="24"/>
        </w:rPr>
        <w:t xml:space="preserve"> the costs </w:t>
      </w:r>
      <w:r w:rsidR="00763DEC">
        <w:rPr>
          <w:color w:val="000000"/>
          <w:szCs w:val="24"/>
        </w:rPr>
        <w:t>of</w:t>
      </w:r>
      <w:r w:rsidR="00763DEC" w:rsidRPr="00E91A91">
        <w:rPr>
          <w:color w:val="000000"/>
          <w:szCs w:val="24"/>
        </w:rPr>
        <w:t xml:space="preserve"> managing the infrastructure </w:t>
      </w:r>
      <w:r w:rsidR="00A01376">
        <w:rPr>
          <w:color w:val="000000"/>
          <w:szCs w:val="24"/>
        </w:rPr>
        <w:t>and the costs of train operations</w:t>
      </w:r>
      <w:r w:rsidR="00044FE1">
        <w:rPr>
          <w:color w:val="000000"/>
          <w:szCs w:val="24"/>
        </w:rPr>
        <w:t xml:space="preserve"> and that accounting policies and practices are materially consistent</w:t>
      </w:r>
      <w:r w:rsidR="0003200D">
        <w:rPr>
          <w:color w:val="000000"/>
          <w:szCs w:val="24"/>
        </w:rPr>
        <w:t>,</w:t>
      </w:r>
    </w:p>
    <w:p w14:paraId="3A49DDA5" w14:textId="5F6412C4" w:rsidR="00763DEC" w:rsidRPr="00E91A91" w:rsidRDefault="00485F4A" w:rsidP="00CE68FA">
      <w:pPr>
        <w:numPr>
          <w:ilvl w:val="0"/>
          <w:numId w:val="17"/>
        </w:numPr>
        <w:spacing w:line="240" w:lineRule="auto"/>
        <w:rPr>
          <w:color w:val="000000"/>
          <w:szCs w:val="24"/>
        </w:rPr>
      </w:pPr>
      <w:r w:rsidRPr="58BD2BFF">
        <w:rPr>
          <w:color w:val="000000" w:themeColor="text1"/>
        </w:rPr>
        <w:t>c</w:t>
      </w:r>
      <w:r w:rsidR="00763DEC" w:rsidRPr="58BD2BFF">
        <w:rPr>
          <w:color w:val="000000" w:themeColor="text1"/>
        </w:rPr>
        <w:t>onvert cost data to take into account of differing Purchasing Power Parities (PPP) and</w:t>
      </w:r>
      <w:r w:rsidR="002F1135" w:rsidRPr="58BD2BFF">
        <w:rPr>
          <w:color w:val="000000" w:themeColor="text1"/>
        </w:rPr>
        <w:t xml:space="preserve"> CPI </w:t>
      </w:r>
      <w:r w:rsidR="00763DEC" w:rsidRPr="58BD2BFF">
        <w:rPr>
          <w:color w:val="000000" w:themeColor="text1"/>
        </w:rPr>
        <w:t>inflation</w:t>
      </w:r>
      <w:r w:rsidR="0003200D">
        <w:rPr>
          <w:color w:val="000000" w:themeColor="text1"/>
        </w:rPr>
        <w:t>,</w:t>
      </w:r>
      <w:r w:rsidR="00835923" w:rsidRPr="58BD2BFF">
        <w:rPr>
          <w:color w:val="000000" w:themeColor="text1"/>
        </w:rPr>
        <w:t xml:space="preserve"> and</w:t>
      </w:r>
    </w:p>
    <w:p w14:paraId="3EC8D1D7" w14:textId="73A4917C" w:rsidR="00763DEC" w:rsidRPr="00E91A91" w:rsidRDefault="00485F4A" w:rsidP="00CE68FA">
      <w:pPr>
        <w:numPr>
          <w:ilvl w:val="0"/>
          <w:numId w:val="16"/>
        </w:numPr>
        <w:tabs>
          <w:tab w:val="clear" w:pos="360"/>
          <w:tab w:val="num" w:pos="720"/>
        </w:tabs>
        <w:spacing w:line="240" w:lineRule="auto"/>
        <w:ind w:left="720"/>
        <w:rPr>
          <w:color w:val="000000"/>
          <w:szCs w:val="24"/>
        </w:rPr>
      </w:pPr>
      <w:r>
        <w:rPr>
          <w:color w:val="000000"/>
          <w:szCs w:val="24"/>
        </w:rPr>
        <w:t>m</w:t>
      </w:r>
      <w:r w:rsidR="00763DEC" w:rsidRPr="00E91A91">
        <w:rPr>
          <w:color w:val="000000"/>
          <w:szCs w:val="24"/>
        </w:rPr>
        <w:t xml:space="preserve">ake clear </w:t>
      </w:r>
      <w:r w:rsidR="0016661E">
        <w:rPr>
          <w:color w:val="000000"/>
          <w:szCs w:val="24"/>
        </w:rPr>
        <w:t>all key</w:t>
      </w:r>
      <w:r w:rsidR="0016661E" w:rsidRPr="00E91A91">
        <w:rPr>
          <w:color w:val="000000"/>
          <w:szCs w:val="24"/>
        </w:rPr>
        <w:t xml:space="preserve"> </w:t>
      </w:r>
      <w:r w:rsidR="00763DEC" w:rsidRPr="00E91A91">
        <w:rPr>
          <w:color w:val="000000"/>
          <w:szCs w:val="24"/>
        </w:rPr>
        <w:t xml:space="preserve">assumptions used in </w:t>
      </w:r>
      <w:r w:rsidR="00835923">
        <w:rPr>
          <w:color w:val="000000"/>
          <w:szCs w:val="24"/>
        </w:rPr>
        <w:t>the analysis</w:t>
      </w:r>
      <w:r w:rsidR="00763DEC" w:rsidRPr="00E91A91">
        <w:rPr>
          <w:color w:val="000000"/>
          <w:szCs w:val="24"/>
        </w:rPr>
        <w:t>.</w:t>
      </w:r>
    </w:p>
    <w:p w14:paraId="299929DF" w14:textId="58285B27" w:rsidR="00763DEC" w:rsidRDefault="00763DEC" w:rsidP="00763DEC">
      <w:pPr>
        <w:pStyle w:val="ListNumber"/>
        <w:numPr>
          <w:ilvl w:val="0"/>
          <w:numId w:val="0"/>
        </w:numPr>
        <w:rPr>
          <w:szCs w:val="24"/>
        </w:rPr>
      </w:pPr>
      <w:r w:rsidRPr="00E91A91">
        <w:rPr>
          <w:szCs w:val="24"/>
        </w:rPr>
        <w:t xml:space="preserve">We will make available to the selected contractor any relevant Network Rail data </w:t>
      </w:r>
      <w:r w:rsidR="00835923">
        <w:rPr>
          <w:szCs w:val="24"/>
        </w:rPr>
        <w:t xml:space="preserve">that </w:t>
      </w:r>
      <w:r w:rsidRPr="00E91A91">
        <w:rPr>
          <w:szCs w:val="24"/>
        </w:rPr>
        <w:t>we hold, but we expect the contractor to provide their own data in respect of other countries</w:t>
      </w:r>
      <w:r w:rsidR="004C5DBF">
        <w:rPr>
          <w:szCs w:val="24"/>
        </w:rPr>
        <w:t xml:space="preserve"> that is prepared on a consistent basis with Network Rail’s data</w:t>
      </w:r>
      <w:r w:rsidRPr="00E91A91">
        <w:rPr>
          <w:szCs w:val="24"/>
        </w:rPr>
        <w:t>.</w:t>
      </w:r>
    </w:p>
    <w:p w14:paraId="0E9FCC68" w14:textId="77777777" w:rsidR="00763DEC" w:rsidRPr="00574B16" w:rsidRDefault="00763DEC" w:rsidP="003F3CB0">
      <w:pPr>
        <w:rPr>
          <w:b/>
          <w:bCs/>
          <w:color w:val="B1173B"/>
        </w:rPr>
      </w:pPr>
    </w:p>
    <w:p w14:paraId="69A75C90" w14:textId="4E7D31A8" w:rsidR="003F3CB0" w:rsidRDefault="003F3CB0" w:rsidP="003F3CB0">
      <w:pPr>
        <w:pStyle w:val="Heading3"/>
      </w:pPr>
      <w:bookmarkStart w:id="18" w:name="_Toc111551921"/>
      <w:r w:rsidRPr="003F3CB0">
        <w:t>2.3 Project Outputs, Deliverables and Contract Management</w:t>
      </w:r>
      <w:bookmarkEnd w:id="18"/>
    </w:p>
    <w:p w14:paraId="480D8983" w14:textId="77777777" w:rsidR="00DB02EF" w:rsidRDefault="00DB02EF" w:rsidP="00DB02EF">
      <w:pPr>
        <w:pStyle w:val="Heading4"/>
      </w:pPr>
      <w:r>
        <w:t>Outputs and Deliverables</w:t>
      </w:r>
    </w:p>
    <w:p w14:paraId="7746E1CF" w14:textId="77777777" w:rsidR="00DB02EF" w:rsidRDefault="00DB02EF" w:rsidP="00DB02EF">
      <w:r>
        <w:t>The consultant is to deliver:</w:t>
      </w:r>
    </w:p>
    <w:p w14:paraId="7551CC97" w14:textId="3B010741" w:rsidR="00DB02EF" w:rsidRDefault="00DB02EF" w:rsidP="00DB02EF">
      <w:pPr>
        <w:pStyle w:val="NormalBulletround"/>
      </w:pPr>
      <w:r>
        <w:lastRenderedPageBreak/>
        <w:t>Interim presentation of emerging findings</w:t>
      </w:r>
      <w:r w:rsidR="004C5DBF">
        <w:t xml:space="preserve"> to ORR and Network Rail</w:t>
      </w:r>
      <w:r w:rsidR="00827C76">
        <w:t xml:space="preserve"> </w:t>
      </w:r>
    </w:p>
    <w:p w14:paraId="5E22A993" w14:textId="1F04303B" w:rsidR="00DB02EF" w:rsidRDefault="00DB02EF" w:rsidP="00DB02EF">
      <w:pPr>
        <w:pStyle w:val="NormalBulletround"/>
      </w:pPr>
      <w:r>
        <w:t xml:space="preserve">Draft report for comment </w:t>
      </w:r>
      <w:r w:rsidR="004C5DBF">
        <w:t xml:space="preserve">to ORR and Network Rail, </w:t>
      </w:r>
      <w:r>
        <w:t xml:space="preserve">which details the findings, conclusions and recommendations  </w:t>
      </w:r>
    </w:p>
    <w:p w14:paraId="72D05BD1" w14:textId="12EC45F1" w:rsidR="00DB02EF" w:rsidRDefault="00DB02EF" w:rsidP="00DB02EF">
      <w:pPr>
        <w:pStyle w:val="NormalBulletround"/>
      </w:pPr>
      <w:r>
        <w:t>Final report which incorporates the amendments from ORR</w:t>
      </w:r>
      <w:r w:rsidR="004C5DBF">
        <w:t xml:space="preserve"> and Network Rail</w:t>
      </w:r>
    </w:p>
    <w:p w14:paraId="56237481" w14:textId="003EBBD6" w:rsidR="009A34CB" w:rsidRDefault="009A34CB" w:rsidP="009A34CB">
      <w:pPr>
        <w:pStyle w:val="NormalBulletround"/>
        <w:numPr>
          <w:ilvl w:val="0"/>
          <w:numId w:val="0"/>
        </w:numPr>
      </w:pPr>
      <w:r w:rsidRPr="009A34CB">
        <w:t>Any analysis carried out by the Supplier in support of the contract deliverables must be supported by analytical assurance. This must be documented and an analytical assurance statement submitted to summarise the assurance that has been carried out</w:t>
      </w:r>
      <w:r w:rsidR="001F79F5">
        <w:t>.</w:t>
      </w:r>
      <w:r w:rsidRPr="009A34CB">
        <w:t xml:space="preserve"> </w:t>
      </w:r>
    </w:p>
    <w:p w14:paraId="30DFB785" w14:textId="439A37DA" w:rsidR="00DB02EF" w:rsidRDefault="00DB02EF" w:rsidP="00DB02EF">
      <w:pPr>
        <w:pStyle w:val="Heading4"/>
      </w:pPr>
      <w:r>
        <w:t>Contract Management Requirements</w:t>
      </w:r>
    </w:p>
    <w:p w14:paraId="7617CD38" w14:textId="033B563A" w:rsidR="00CE68FA" w:rsidRPr="00CE68FA" w:rsidRDefault="00CE68FA" w:rsidP="00CE68FA">
      <w:pPr>
        <w:rPr>
          <w:color w:val="000000" w:themeColor="text1"/>
        </w:rPr>
      </w:pPr>
      <w:r w:rsidRPr="00CE68FA">
        <w:rPr>
          <w:color w:val="000000" w:themeColor="text1"/>
        </w:rPr>
        <w:t xml:space="preserve">The service level agreement (SLA) between ORR and the </w:t>
      </w:r>
      <w:r w:rsidR="00ED5E8A">
        <w:rPr>
          <w:color w:val="000000" w:themeColor="text1"/>
        </w:rPr>
        <w:t>consultant</w:t>
      </w:r>
      <w:r w:rsidRPr="00CE68FA">
        <w:rPr>
          <w:color w:val="000000" w:themeColor="text1"/>
        </w:rPr>
        <w:t xml:space="preserve"> includes:</w:t>
      </w:r>
    </w:p>
    <w:p w14:paraId="3387F7A8" w14:textId="77777777" w:rsidR="00CE68FA" w:rsidRPr="00CE68FA" w:rsidRDefault="00CE68FA" w:rsidP="00CE68FA">
      <w:pPr>
        <w:numPr>
          <w:ilvl w:val="0"/>
          <w:numId w:val="24"/>
        </w:numPr>
        <w:rPr>
          <w:b/>
          <w:bCs/>
          <w:color w:val="000000" w:themeColor="text1"/>
        </w:rPr>
      </w:pPr>
      <w:r w:rsidRPr="00CE68FA">
        <w:rPr>
          <w:b/>
          <w:bCs/>
          <w:color w:val="000000" w:themeColor="text1"/>
        </w:rPr>
        <w:t xml:space="preserve">Timely Delivery: </w:t>
      </w:r>
      <w:r w:rsidRPr="00CE68FA">
        <w:rPr>
          <w:color w:val="000000" w:themeColor="text1"/>
        </w:rPr>
        <w:t>Ensure that all deliverables, including interim presentations, draft reports, and final reports, are submitted by the agreed deadlines.</w:t>
      </w:r>
    </w:p>
    <w:p w14:paraId="0234C0E6" w14:textId="77777777" w:rsidR="00CE68FA" w:rsidRPr="00CE68FA" w:rsidRDefault="00CE68FA" w:rsidP="00CE68FA">
      <w:pPr>
        <w:numPr>
          <w:ilvl w:val="0"/>
          <w:numId w:val="24"/>
        </w:numPr>
        <w:rPr>
          <w:b/>
          <w:bCs/>
          <w:color w:val="000000" w:themeColor="text1"/>
        </w:rPr>
      </w:pPr>
      <w:r w:rsidRPr="00CE68FA">
        <w:rPr>
          <w:b/>
          <w:bCs/>
          <w:color w:val="000000" w:themeColor="text1"/>
        </w:rPr>
        <w:t xml:space="preserve">Data Integrity: </w:t>
      </w:r>
      <w:r w:rsidRPr="00CE68FA">
        <w:rPr>
          <w:color w:val="000000" w:themeColor="text1"/>
        </w:rPr>
        <w:t>Maintain high standards of data integrity, ensuring that all data used in the benchmarking analysis is accurate and reliable.</w:t>
      </w:r>
    </w:p>
    <w:p w14:paraId="3CD8FB5E" w14:textId="77777777" w:rsidR="00CE68FA" w:rsidRPr="00CE68FA" w:rsidRDefault="00CE68FA" w:rsidP="00CE68FA">
      <w:pPr>
        <w:numPr>
          <w:ilvl w:val="0"/>
          <w:numId w:val="24"/>
        </w:numPr>
        <w:rPr>
          <w:color w:val="000000" w:themeColor="text1"/>
        </w:rPr>
      </w:pPr>
      <w:r w:rsidRPr="00CE68FA">
        <w:rPr>
          <w:b/>
          <w:bCs/>
          <w:color w:val="000000" w:themeColor="text1"/>
        </w:rPr>
        <w:t xml:space="preserve">Communication: </w:t>
      </w:r>
      <w:r w:rsidRPr="00CE68FA">
        <w:rPr>
          <w:color w:val="000000" w:themeColor="text1"/>
        </w:rPr>
        <w:t>Provide regular updates to the ORR and Network Rail, including fortnightly progress reports and immediate notification of any issues.</w:t>
      </w:r>
    </w:p>
    <w:p w14:paraId="6B300763" w14:textId="0C7B1ADB" w:rsidR="00CE68FA" w:rsidRPr="00CE68FA" w:rsidRDefault="00CE68FA" w:rsidP="00CE68FA">
      <w:pPr>
        <w:numPr>
          <w:ilvl w:val="0"/>
          <w:numId w:val="24"/>
        </w:numPr>
        <w:rPr>
          <w:b/>
          <w:bCs/>
          <w:color w:val="000000" w:themeColor="text1"/>
        </w:rPr>
      </w:pPr>
      <w:r w:rsidRPr="00CE68FA">
        <w:rPr>
          <w:b/>
          <w:bCs/>
          <w:color w:val="000000" w:themeColor="text1"/>
        </w:rPr>
        <w:t xml:space="preserve">Responsiveness: </w:t>
      </w:r>
      <w:r w:rsidRPr="00CE68FA">
        <w:rPr>
          <w:color w:val="000000" w:themeColor="text1"/>
        </w:rPr>
        <w:t>Respond to any queries or requests for additional information from ORR and Network Rail within three working days.</w:t>
      </w:r>
    </w:p>
    <w:p w14:paraId="3FF60BDB" w14:textId="18863AC4" w:rsidR="00CE68FA" w:rsidRPr="00CE68FA" w:rsidRDefault="00CE68FA" w:rsidP="00CE68FA">
      <w:pPr>
        <w:numPr>
          <w:ilvl w:val="0"/>
          <w:numId w:val="24"/>
        </w:numPr>
        <w:rPr>
          <w:color w:val="000000" w:themeColor="text1"/>
        </w:rPr>
      </w:pPr>
      <w:r w:rsidRPr="00CE68FA">
        <w:rPr>
          <w:b/>
          <w:bCs/>
          <w:color w:val="000000" w:themeColor="text1"/>
        </w:rPr>
        <w:t xml:space="preserve">Confidentiality: </w:t>
      </w:r>
      <w:r w:rsidRPr="00CE68FA">
        <w:rPr>
          <w:color w:val="000000" w:themeColor="text1"/>
        </w:rPr>
        <w:t>Adhere to confidentiality agreements and ensure that all project-related information is securely handled and protected.</w:t>
      </w:r>
    </w:p>
    <w:p w14:paraId="0F1C5CCF" w14:textId="77777777" w:rsidR="00CE68FA" w:rsidRPr="00CE68FA" w:rsidRDefault="00CE68FA" w:rsidP="00CE68FA">
      <w:pPr>
        <w:rPr>
          <w:color w:val="000000" w:themeColor="text1"/>
        </w:rPr>
      </w:pPr>
      <w:r w:rsidRPr="00CE68FA">
        <w:rPr>
          <w:color w:val="000000" w:themeColor="text1"/>
        </w:rPr>
        <w:t>The success of the project will be evaluated based on the following key performance indicators (KPIs):</w:t>
      </w:r>
    </w:p>
    <w:p w14:paraId="4E21365C"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Timeliness: </w:t>
      </w:r>
      <w:r w:rsidRPr="00CE68FA">
        <w:rPr>
          <w:color w:val="000000" w:themeColor="text1"/>
        </w:rPr>
        <w:t>Track the time taken to complete the project.</w:t>
      </w:r>
    </w:p>
    <w:p w14:paraId="6B2F33FF"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Cost Efficiency: </w:t>
      </w:r>
      <w:r w:rsidRPr="00CE68FA">
        <w:rPr>
          <w:color w:val="000000" w:themeColor="text1"/>
        </w:rPr>
        <w:t>Track the variance between the budgeted and actual costs.</w:t>
      </w:r>
    </w:p>
    <w:p w14:paraId="0CEAAFE8"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Data Accuracy: </w:t>
      </w:r>
      <w:r w:rsidRPr="00CE68FA">
        <w:rPr>
          <w:color w:val="000000" w:themeColor="text1"/>
        </w:rPr>
        <w:t>Ensure that the data used for benchmarking is accurate, consistent and reproducible.</w:t>
      </w:r>
    </w:p>
    <w:p w14:paraId="226B0AE9"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Report Quality: </w:t>
      </w:r>
      <w:r w:rsidRPr="00CE68FA">
        <w:rPr>
          <w:color w:val="000000" w:themeColor="text1"/>
        </w:rPr>
        <w:t>Evaluate the quality of interim and final reports based on clarity, comprehensiveness, and actionable insights.</w:t>
      </w:r>
    </w:p>
    <w:p w14:paraId="59ACC93C" w14:textId="77777777" w:rsidR="00CE68FA" w:rsidRPr="00CE68FA" w:rsidRDefault="00CE68FA" w:rsidP="00CE68FA">
      <w:pPr>
        <w:ind w:left="720"/>
        <w:rPr>
          <w:b/>
          <w:bCs/>
          <w:color w:val="000000" w:themeColor="text1"/>
        </w:rPr>
      </w:pPr>
    </w:p>
    <w:p w14:paraId="75F8969E" w14:textId="18013AB0" w:rsidR="00D6160E" w:rsidRDefault="00AF7AF9" w:rsidP="00AF7AF9">
      <w:pPr>
        <w:pStyle w:val="Heading3"/>
      </w:pPr>
      <w:bookmarkStart w:id="19" w:name="_Toc111551922"/>
      <w:r>
        <w:lastRenderedPageBreak/>
        <w:t>2.4 Project Timescales</w:t>
      </w:r>
      <w:bookmarkEnd w:id="19"/>
    </w:p>
    <w:p w14:paraId="232D4288" w14:textId="242DE961" w:rsidR="00AF7AF9" w:rsidRDefault="00AF7AF9" w:rsidP="00AF7AF9">
      <w:r>
        <w:t>The provisional project timetable is as follows:</w:t>
      </w:r>
    </w:p>
    <w:p w14:paraId="1A5E1720" w14:textId="68F24353" w:rsidR="00AF7AF9" w:rsidRDefault="005F5330" w:rsidP="00AF7AF9">
      <w:pPr>
        <w:pStyle w:val="NormalBulletround"/>
      </w:pPr>
      <w:r>
        <w:t>Inception</w:t>
      </w:r>
      <w:r w:rsidR="00AF7AF9">
        <w:t xml:space="preserve"> meeting and commencement w/c </w:t>
      </w:r>
      <w:r w:rsidR="00656B7F">
        <w:t>28</w:t>
      </w:r>
      <w:r w:rsidR="002F1135">
        <w:t xml:space="preserve"> July</w:t>
      </w:r>
      <w:r w:rsidR="00656B7F">
        <w:t xml:space="preserve"> 2025</w:t>
      </w:r>
    </w:p>
    <w:p w14:paraId="26A9F78D" w14:textId="519C441A" w:rsidR="00AF7AF9" w:rsidRDefault="004E67B1" w:rsidP="00AF7AF9">
      <w:pPr>
        <w:pStyle w:val="NormalBulletround"/>
      </w:pPr>
      <w:r>
        <w:t>F</w:t>
      </w:r>
      <w:r w:rsidR="008C4C5F">
        <w:t>ortnightly</w:t>
      </w:r>
      <w:r w:rsidR="00AF7AF9">
        <w:t xml:space="preserve"> updates on progress and any issues</w:t>
      </w:r>
    </w:p>
    <w:p w14:paraId="618A964A" w14:textId="1B7F47CE" w:rsidR="00AF7AF9" w:rsidRDefault="00AF7AF9" w:rsidP="00AF7AF9">
      <w:pPr>
        <w:pStyle w:val="NormalBulletround"/>
      </w:pPr>
      <w:r>
        <w:t xml:space="preserve">Presentation of interim findings </w:t>
      </w:r>
      <w:r w:rsidR="00656B7F">
        <w:t xml:space="preserve">w/c 12 January 2026 </w:t>
      </w:r>
      <w:r>
        <w:t>(or as agreed)</w:t>
      </w:r>
    </w:p>
    <w:p w14:paraId="1CB48C52" w14:textId="54E74D50" w:rsidR="00AF7AF9" w:rsidRDefault="00AF7AF9" w:rsidP="00AF7AF9">
      <w:pPr>
        <w:pStyle w:val="NormalBulletround"/>
      </w:pPr>
      <w:r>
        <w:t xml:space="preserve">Draft report by </w:t>
      </w:r>
      <w:r w:rsidR="00656B7F">
        <w:t>30 January 2026</w:t>
      </w:r>
    </w:p>
    <w:p w14:paraId="5577EDCB" w14:textId="6C7AD890" w:rsidR="00AF7AF9" w:rsidRDefault="00AF7AF9" w:rsidP="00AF7AF9">
      <w:pPr>
        <w:pStyle w:val="NormalBulletround"/>
      </w:pPr>
      <w:r>
        <w:t xml:space="preserve">Final report by </w:t>
      </w:r>
      <w:r w:rsidR="005F5330">
        <w:t>27 February 2026</w:t>
      </w:r>
    </w:p>
    <w:p w14:paraId="76E3EE61" w14:textId="420F91D1" w:rsidR="00AF7AF9" w:rsidRDefault="00AF7AF9" w:rsidP="00AF7AF9">
      <w:pPr>
        <w:pStyle w:val="Heading3"/>
      </w:pPr>
      <w:bookmarkStart w:id="20" w:name="_Toc111551923"/>
      <w:r w:rsidRPr="00AF7AF9">
        <w:t>2.5 Budget and Payment Schedule</w:t>
      </w:r>
      <w:bookmarkEnd w:id="20"/>
    </w:p>
    <w:p w14:paraId="7D86A410" w14:textId="63F30BEE" w:rsidR="00D401C8" w:rsidRDefault="00D401C8" w:rsidP="00D401C8">
      <w:r>
        <w:t xml:space="preserve">The maximum budget for this piece of </w:t>
      </w:r>
      <w:r w:rsidRPr="000028B7">
        <w:t>work is £</w:t>
      </w:r>
      <w:r w:rsidR="00132A73">
        <w:t>160,000</w:t>
      </w:r>
      <w:r w:rsidRPr="000028B7">
        <w:t xml:space="preserve"> (</w:t>
      </w:r>
      <w:r>
        <w:t>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21" w:name="_Toc111551924"/>
      <w:r w:rsidRPr="00AF7AF9">
        <w:t>2.6 Further project related information for bidders</w:t>
      </w:r>
      <w:bookmarkEnd w:id="21"/>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2" w:name="_Toc111551925"/>
      <w:bookmarkStart w:id="23" w:name="_Toc200439775"/>
      <w:r>
        <w:lastRenderedPageBreak/>
        <w:t>Tender Response and Evaluation Criteria</w:t>
      </w:r>
      <w:bookmarkEnd w:id="22"/>
      <w:bookmarkEnd w:id="23"/>
    </w:p>
    <w:p w14:paraId="6C9F4B20" w14:textId="5CFF035D" w:rsidR="001768F1" w:rsidRDefault="001768F1" w:rsidP="001768F1">
      <w:pPr>
        <w:pStyle w:val="Heading3"/>
      </w:pPr>
      <w:bookmarkStart w:id="24" w:name="_Toc111551926"/>
      <w:r>
        <w:t>3.1 The Tender Response</w:t>
      </w:r>
      <w:bookmarkEnd w:id="24"/>
    </w:p>
    <w:p w14:paraId="33A2C61B" w14:textId="1C7BC364" w:rsidR="001768F1" w:rsidRDefault="001768F1" w:rsidP="001768F1">
      <w:r>
        <w:t>The proposals for this project should include an outline of how bidders will meet the requirement outlined in section (ii) “Statement of Requirement”. The following information should be included</w:t>
      </w:r>
      <w:r w:rsidR="00491004">
        <w:t>:</w:t>
      </w:r>
      <w:r>
        <w:t xml:space="preserve"> </w:t>
      </w:r>
    </w:p>
    <w:p w14:paraId="0696CABC" w14:textId="13E563FF" w:rsidR="001768F1" w:rsidRPr="001E7C87" w:rsidRDefault="001768F1" w:rsidP="00CE68FA">
      <w:pPr>
        <w:pStyle w:val="NormalBulletalpha"/>
        <w:numPr>
          <w:ilvl w:val="1"/>
          <w:numId w:val="11"/>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096D1CBC" w:rsidR="001768F1" w:rsidRPr="00491004" w:rsidRDefault="001768F1" w:rsidP="00CE68FA">
      <w:pPr>
        <w:pStyle w:val="NormalBulletalpha"/>
        <w:rPr>
          <w:b/>
          <w:bCs/>
        </w:rPr>
      </w:pPr>
      <w:r w:rsidRPr="001E7C87">
        <w:rPr>
          <w:b/>
          <w:bCs/>
        </w:rPr>
        <w:t>Approach to customer's requirements</w:t>
      </w:r>
    </w:p>
    <w:p w14:paraId="631D4126" w14:textId="33CB741D" w:rsidR="001768F1" w:rsidRDefault="001768F1" w:rsidP="001E7C87">
      <w:pPr>
        <w:pStyle w:val="NormalBullet-"/>
      </w:pPr>
      <w:r>
        <w:t>Provide an explanation of the proposed approach and any methodologies bidders will work to;</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5673ADDA" w14:textId="47E56089" w:rsidR="001768F1" w:rsidRPr="001E7C87" w:rsidRDefault="001768F1" w:rsidP="00D07E76">
      <w:pPr>
        <w:pStyle w:val="NormalBulletalpha"/>
        <w:rPr>
          <w:b/>
          <w:bCs/>
        </w:rPr>
      </w:pPr>
      <w:r w:rsidRPr="001E7C87">
        <w:rPr>
          <w:b/>
          <w:bCs/>
        </w:rPr>
        <w:t>Proposed delivery team</w:t>
      </w:r>
    </w:p>
    <w:p w14:paraId="4AB840ED" w14:textId="14C1BBD7" w:rsidR="00491004" w:rsidRDefault="001768F1" w:rsidP="00CE68FA">
      <w:pPr>
        <w:pStyle w:val="NormalBullet-"/>
      </w:pPr>
      <w:r>
        <w:t xml:space="preserve">Key personnel including details of how their key skills, experience and qualifications align to the delivery of the project; </w:t>
      </w:r>
    </w:p>
    <w:p w14:paraId="199F97DF" w14:textId="674FE96A" w:rsidR="00491004" w:rsidRDefault="00491004" w:rsidP="00491004">
      <w:pPr>
        <w:pStyle w:val="NormalBullet-"/>
      </w:pPr>
      <w:r>
        <w:t>Some relevant examples of previous work that bidders have carried out;</w:t>
      </w:r>
    </w:p>
    <w:p w14:paraId="3E9E2235" w14:textId="775C5327" w:rsidR="001768F1" w:rsidRDefault="001768F1" w:rsidP="001E7C87">
      <w:pPr>
        <w:pStyle w:val="NormalBullet-"/>
      </w:pPr>
      <w:r>
        <w:t>Project roles and responsibilities</w:t>
      </w:r>
      <w:r w:rsidR="00491004">
        <w:t>; and</w:t>
      </w:r>
    </w:p>
    <w:p w14:paraId="5F3C04C1" w14:textId="2BEEF03C" w:rsidR="001768F1" w:rsidRDefault="001768F1" w:rsidP="00491004">
      <w:pPr>
        <w:pStyle w:val="NormalBullet-"/>
      </w:pPr>
      <w:r>
        <w:t>Confirmation that you have carried out the necessary employment checks (e.g. right to work in the UK)</w:t>
      </w:r>
      <w:r w:rsidR="00491004">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lastRenderedPageBreak/>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5" w:name="_Toc111551927"/>
      <w:r>
        <w:t>3.2 Evaluation Criteria</w:t>
      </w:r>
      <w:bookmarkEnd w:id="25"/>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77E76613" w:rsidR="001F4F0C" w:rsidRPr="00FF2534" w:rsidRDefault="00621979" w:rsidP="003A16E9">
      <w:pPr>
        <w:pStyle w:val="NormalBulletround"/>
        <w:rPr>
          <w:b/>
          <w:bCs/>
          <w:color w:val="FF0000"/>
        </w:rPr>
      </w:pPr>
      <w:bookmarkStart w:id="26" w:name="_Hlk174010684"/>
      <w:r w:rsidRPr="008E5039">
        <w:t>Submission</w:t>
      </w:r>
      <w:r w:rsidR="001F4F0C" w:rsidRPr="008E5039">
        <w:t xml:space="preserve"> </w:t>
      </w:r>
      <w:r w:rsidRPr="008E5039">
        <w:t xml:space="preserve">of </w:t>
      </w:r>
      <w:r w:rsidR="001F4F0C" w:rsidRPr="008E5039">
        <w:t xml:space="preserve">Cyber Essentials </w:t>
      </w:r>
    </w:p>
    <w:bookmarkEnd w:id="26"/>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35201B79" w:rsidR="005C29ED" w:rsidRPr="00CC15CA" w:rsidRDefault="005C29ED" w:rsidP="00D61976">
      <w:pPr>
        <w:pStyle w:val="Heading4"/>
      </w:pPr>
      <w:r w:rsidRPr="00CC15CA">
        <w:t>Methodology (</w:t>
      </w:r>
      <w:r w:rsidR="001F79F5" w:rsidRPr="00CC15CA">
        <w:t>5</w:t>
      </w:r>
      <w:r w:rsidR="00763DEC" w:rsidRPr="00CC15CA">
        <w:t>0</w:t>
      </w:r>
      <w:r w:rsidRPr="00CC15CA">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CE68FA">
      <w:pPr>
        <w:pStyle w:val="NormalBulletalpha"/>
        <w:numPr>
          <w:ilvl w:val="1"/>
          <w:numId w:val="12"/>
        </w:numPr>
      </w:pPr>
      <w:r>
        <w:t>Explain the methodology and delivery mechanisms to ensure that the requirements of this specification are met in terms of quality;</w:t>
      </w:r>
    </w:p>
    <w:p w14:paraId="09D5614C" w14:textId="6DA75135" w:rsidR="005C29ED" w:rsidRDefault="005C29ED" w:rsidP="00CE68FA">
      <w:pPr>
        <w:pStyle w:val="NormalBulletalpha"/>
        <w:numPr>
          <w:ilvl w:val="1"/>
          <w:numId w:val="12"/>
        </w:numPr>
      </w:pPr>
      <w:r>
        <w:lastRenderedPageBreak/>
        <w:t>Explain how your organisation will work in partnership with ORR’s project manager to ensure that the requirement is met</w:t>
      </w:r>
    </w:p>
    <w:p w14:paraId="5A025B94" w14:textId="4A20F6C2" w:rsidR="005C29ED" w:rsidRDefault="005C29ED" w:rsidP="00CE68FA">
      <w:pPr>
        <w:pStyle w:val="NormalBulletalpha"/>
        <w:numPr>
          <w:ilvl w:val="1"/>
          <w:numId w:val="12"/>
        </w:numPr>
      </w:pPr>
      <w:r>
        <w:t>Explain how your organisation will engage with external stakeholders;</w:t>
      </w:r>
    </w:p>
    <w:p w14:paraId="278014BC" w14:textId="18C8C191" w:rsidR="005C29ED" w:rsidRDefault="005C29ED" w:rsidP="00CE68FA">
      <w:pPr>
        <w:pStyle w:val="NormalBulletalpha"/>
        <w:numPr>
          <w:ilvl w:val="1"/>
          <w:numId w:val="12"/>
        </w:numPr>
      </w:pPr>
      <w:r>
        <w:t>Outline how the proposed approach utilises innovative consultation methodologies to develop a diverse and comprehensive evidence-base</w:t>
      </w:r>
    </w:p>
    <w:p w14:paraId="09DB644F" w14:textId="65DC14F9" w:rsidR="005C29ED" w:rsidRPr="00CC15CA" w:rsidRDefault="005C29ED" w:rsidP="00350594">
      <w:pPr>
        <w:pStyle w:val="Heading4"/>
      </w:pPr>
      <w:r w:rsidRPr="00CC15CA">
        <w:t>Delivery (</w:t>
      </w:r>
      <w:r w:rsidR="00763DEC" w:rsidRPr="00CC15CA">
        <w:t>20</w:t>
      </w:r>
      <w:r w:rsidRPr="00CC15CA">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CE68FA">
      <w:pPr>
        <w:pStyle w:val="NormalBulletalpha"/>
        <w:numPr>
          <w:ilvl w:val="1"/>
          <w:numId w:val="13"/>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471D8B98" w:rsidR="005C29ED" w:rsidRPr="00CC15CA" w:rsidRDefault="005C29ED" w:rsidP="00350594">
      <w:pPr>
        <w:pStyle w:val="Heading4"/>
      </w:pPr>
      <w:r w:rsidRPr="00CC15CA">
        <w:t>Experience (</w:t>
      </w:r>
      <w:r w:rsidR="00763DEC" w:rsidRPr="00CC15CA">
        <w:t>10</w:t>
      </w:r>
      <w:r w:rsidRPr="00CC15CA">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CE68FA">
      <w:pPr>
        <w:pStyle w:val="NormalBulletalpha"/>
        <w:numPr>
          <w:ilvl w:val="1"/>
          <w:numId w:val="14"/>
        </w:numPr>
      </w:pPr>
      <w:r>
        <w:t xml:space="preserve">Provide CVs of the consultants who will be delivering the project; </w:t>
      </w:r>
    </w:p>
    <w:p w14:paraId="1146D7A1" w14:textId="34F8B340" w:rsidR="005C29ED" w:rsidRDefault="005C29ED" w:rsidP="00CE68FA">
      <w:pPr>
        <w:pStyle w:val="NormalBulletalpha"/>
        <w:numPr>
          <w:ilvl w:val="1"/>
          <w:numId w:val="14"/>
        </w:numPr>
      </w:pPr>
      <w:r>
        <w:t>Highlight the organisation’s relevant experience for this project, submitting examples of similar projects.</w:t>
      </w:r>
    </w:p>
    <w:p w14:paraId="370476F8" w14:textId="19398A6E" w:rsidR="005C29ED" w:rsidRPr="00CC15CA" w:rsidRDefault="005C29ED" w:rsidP="00350594">
      <w:pPr>
        <w:pStyle w:val="Heading4"/>
      </w:pPr>
      <w:r w:rsidRPr="00CC15CA">
        <w:t>Cost / Value for money (</w:t>
      </w:r>
      <w:r w:rsidR="001F79F5" w:rsidRPr="00CC15CA">
        <w:t>2</w:t>
      </w:r>
      <w:r w:rsidR="00763DEC" w:rsidRPr="00CC15CA">
        <w:t>0</w:t>
      </w:r>
      <w:r w:rsidRPr="00CC15CA">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w:t>
            </w:r>
            <w:r w:rsidRPr="00757472">
              <w:rPr>
                <w:rFonts w:eastAsia="Calibri" w:cs="Arial"/>
                <w:sz w:val="22"/>
                <w:shd w:val="clear" w:color="auto" w:fill="FFFFFF"/>
                <w:lang w:val="en-US"/>
              </w:rPr>
              <w:lastRenderedPageBreak/>
              <w:t xml:space="preserve">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7" w:name="_Toc111551928"/>
      <w:bookmarkStart w:id="28" w:name="_Toc200439776"/>
      <w:r w:rsidRPr="002D3643">
        <w:lastRenderedPageBreak/>
        <w:t xml:space="preserve">Procurement </w:t>
      </w:r>
      <w:r>
        <w:t>P</w:t>
      </w:r>
      <w:r w:rsidRPr="002D3643">
        <w:t>rocedures</w:t>
      </w:r>
      <w:bookmarkEnd w:id="27"/>
      <w:bookmarkEnd w:id="28"/>
      <w:r w:rsidRPr="002D3643">
        <w:t xml:space="preserve"> </w:t>
      </w:r>
    </w:p>
    <w:p w14:paraId="038D890E" w14:textId="77777777" w:rsidR="00400432" w:rsidRDefault="00400432" w:rsidP="00400432">
      <w:pPr>
        <w:pStyle w:val="Heading3"/>
      </w:pPr>
      <w:bookmarkStart w:id="29" w:name="_Toc111551929"/>
      <w:r>
        <w:t>Tendering Timetable</w:t>
      </w:r>
      <w:bookmarkEnd w:id="29"/>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10CEA4BB" w:rsidR="00400432" w:rsidRPr="00400432" w:rsidRDefault="00CC15CA" w:rsidP="00400432">
            <w:pPr>
              <w:pStyle w:val="TblText"/>
            </w:pPr>
            <w:r>
              <w:t>1</w:t>
            </w:r>
            <w:r w:rsidR="00F454C5">
              <w:t>2</w:t>
            </w:r>
            <w:r>
              <w:t xml:space="preserve"> June 2025</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1BE362B3" w:rsidR="00400432" w:rsidRPr="00400432" w:rsidRDefault="00CC15CA" w:rsidP="00400432">
            <w:pPr>
              <w:pStyle w:val="TblText"/>
            </w:pPr>
            <w:r>
              <w:t>2</w:t>
            </w:r>
            <w:r w:rsidR="00C50D57">
              <w:t>3</w:t>
            </w:r>
            <w:r>
              <w:t xml:space="preserve"> June 2025</w:t>
            </w:r>
            <w:r w:rsidR="00C50D57">
              <w:t xml:space="preserve"> midday</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5663A67D" w:rsidR="00400432" w:rsidRPr="00400432" w:rsidRDefault="00C50D57" w:rsidP="00400432">
            <w:pPr>
              <w:pStyle w:val="TblText"/>
            </w:pPr>
            <w:r>
              <w:t>1</w:t>
            </w:r>
            <w:r w:rsidR="00A81F89">
              <w:t>1</w:t>
            </w:r>
            <w:r>
              <w:t xml:space="preserve"> Ju</w:t>
            </w:r>
            <w:r w:rsidR="00A81F89">
              <w:t>ly</w:t>
            </w:r>
            <w:r>
              <w:t xml:space="preserve"> </w:t>
            </w:r>
            <w:r w:rsidR="00ED27F4">
              <w:t xml:space="preserve">2025 </w:t>
            </w:r>
            <w:r>
              <w:t>midday</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6B746131" w:rsidR="00400432" w:rsidRPr="00400432" w:rsidRDefault="00C50D57" w:rsidP="00400432">
            <w:pPr>
              <w:pStyle w:val="TblText"/>
            </w:pPr>
            <w:r>
              <w:t xml:space="preserve">25 July 2025 </w:t>
            </w:r>
          </w:p>
        </w:tc>
      </w:tr>
      <w:tr w:rsidR="00400432" w:rsidRPr="00F54CB6"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2C2D9330" w:rsidR="00400432" w:rsidRPr="002F1135" w:rsidRDefault="00C50D57" w:rsidP="00400432">
            <w:pPr>
              <w:pStyle w:val="TblText"/>
              <w:rPr>
                <w:lang w:val="fr-FR"/>
              </w:rPr>
            </w:pPr>
            <w:r>
              <w:rPr>
                <w:lang w:val="fr-FR"/>
              </w:rPr>
              <w:t xml:space="preserve">W/C </w:t>
            </w:r>
            <w:r w:rsidR="00CC15CA">
              <w:rPr>
                <w:lang w:val="fr-FR"/>
              </w:rPr>
              <w:t>28 July 2025</w:t>
            </w:r>
          </w:p>
        </w:tc>
      </w:tr>
    </w:tbl>
    <w:p w14:paraId="3DFADB3D" w14:textId="77777777" w:rsidR="00433557" w:rsidRDefault="00433557" w:rsidP="000A0438">
      <w:pPr>
        <w:pStyle w:val="Heading3"/>
      </w:pPr>
      <w:bookmarkStart w:id="30" w:name="_Toc111551930"/>
      <w:r>
        <w:t>Tendering Instructions and Guidance</w:t>
      </w:r>
      <w:bookmarkEnd w:id="30"/>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31" w:name="_Hlk187308838"/>
      <w:r>
        <w:t>Submission Process</w:t>
      </w:r>
    </w:p>
    <w:bookmarkEnd w:id="31"/>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If you are already registered on our eTendering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2A954B79"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lastRenderedPageBreak/>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0F295614" w14:textId="77777777" w:rsidR="003B17E6" w:rsidRPr="00D92992" w:rsidRDefault="003B17E6" w:rsidP="00C567EC">
      <w:pPr>
        <w:sectPr w:rsidR="003B17E6" w:rsidRPr="00D92992" w:rsidSect="003B17E6">
          <w:headerReference w:type="even" r:id="rId32"/>
          <w:headerReference w:type="default" r:id="rId33"/>
          <w:pgSz w:w="11906" w:h="16838" w:code="9"/>
          <w:pgMar w:top="1418" w:right="1134" w:bottom="1134" w:left="1134" w:header="709" w:footer="709" w:gutter="0"/>
          <w:cols w:space="708"/>
          <w:docGrid w:linePitch="360"/>
        </w:sectPr>
      </w:pPr>
    </w:p>
    <w:p w14:paraId="3FD80486" w14:textId="56BEDAEA" w:rsidR="003B17E6" w:rsidRDefault="003B17E6" w:rsidP="003B17E6">
      <w:pPr>
        <w:pStyle w:val="Copyrighttext"/>
      </w:pPr>
      <w:r w:rsidRPr="00825978">
        <w:rPr>
          <w:noProof/>
          <w:sz w:val="22"/>
          <w:lang w:eastAsia="en-GB"/>
        </w:rPr>
        <w:lastRenderedPageBreak/>
        <w:drawing>
          <wp:inline distT="0" distB="0" distL="0" distR="0" wp14:anchorId="72E11BF2" wp14:editId="35F72B51">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5F3E836D" w14:textId="77777777" w:rsidR="003B17E6" w:rsidRDefault="003B17E6" w:rsidP="003B17E6">
      <w:pPr>
        <w:pStyle w:val="Copyrighttext"/>
      </w:pPr>
      <w:r>
        <w:t>© Crown copyright 2025</w:t>
      </w:r>
    </w:p>
    <w:p w14:paraId="252FA78D" w14:textId="2796A034" w:rsidR="003B17E6" w:rsidRDefault="003B17E6" w:rsidP="003B17E6">
      <w:pPr>
        <w:pStyle w:val="Copyrighttext"/>
      </w:pPr>
      <w:r>
        <w:t xml:space="preserve">This publication is licensed under the terms of the Open Government Licence v3.0 except where otherwise stated. To view this licence, visit </w:t>
      </w:r>
      <w:hyperlink r:id="rId35" w:history="1">
        <w:r w:rsidRPr="003B17E6">
          <w:rPr>
            <w:rStyle w:val="Hyperlink"/>
          </w:rPr>
          <w:t>nationalarchives.gov.uk/doc/open-government-licence/version/3</w:t>
        </w:r>
      </w:hyperlink>
    </w:p>
    <w:p w14:paraId="76E0B936" w14:textId="77777777" w:rsidR="003B17E6" w:rsidRDefault="003B17E6" w:rsidP="003B17E6">
      <w:pPr>
        <w:pStyle w:val="Copyrighttext"/>
      </w:pPr>
      <w:r>
        <w:t>Where we have identified any third party copyright information you will need to obtain permission from the copyright holders concerned.</w:t>
      </w:r>
    </w:p>
    <w:p w14:paraId="1C4EECA7" w14:textId="26EBFF14" w:rsidR="003B17E6" w:rsidRDefault="003B17E6" w:rsidP="003B17E6">
      <w:pPr>
        <w:pStyle w:val="Copyrighttext"/>
      </w:pPr>
      <w:r>
        <w:t xml:space="preserve">This publication is available at </w:t>
      </w:r>
      <w:hyperlink r:id="rId36" w:history="1">
        <w:r w:rsidRPr="003B17E6">
          <w:rPr>
            <w:rStyle w:val="Hyperlink"/>
          </w:rPr>
          <w:t>orr.gov.uk</w:t>
        </w:r>
      </w:hyperlink>
    </w:p>
    <w:p w14:paraId="3E695126" w14:textId="541B7A8D" w:rsidR="003B17E6" w:rsidRPr="003B17E6" w:rsidRDefault="003B17E6" w:rsidP="003B17E6">
      <w:pPr>
        <w:pStyle w:val="Copyrighttext"/>
      </w:pPr>
      <w:r>
        <w:t xml:space="preserve">Any enquiries regarding this publication should be sent to us at </w:t>
      </w:r>
      <w:hyperlink r:id="rId37" w:history="1">
        <w:r w:rsidRPr="003B17E6">
          <w:rPr>
            <w:rStyle w:val="Hyperlink"/>
          </w:rPr>
          <w:t>orr.gov.uk/contact-us</w:t>
        </w:r>
      </w:hyperlink>
    </w:p>
    <w:sectPr w:rsidR="003B17E6" w:rsidRPr="003B17E6" w:rsidSect="003B17E6">
      <w:headerReference w:type="even" r:id="rId38"/>
      <w:headerReference w:type="default" r:id="rId39"/>
      <w:footerReference w:type="even" r:id="rId40"/>
      <w:footerReference w:type="default" r:id="rId41"/>
      <w:headerReference w:type="first" r:id="rId42"/>
      <w:footerReference w:type="first" r:id="rId43"/>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38ED" w14:textId="77777777" w:rsidR="00142694" w:rsidRDefault="00142694" w:rsidP="00555585">
      <w:pPr>
        <w:spacing w:after="0" w:line="240" w:lineRule="auto"/>
      </w:pPr>
      <w:r>
        <w:separator/>
      </w:r>
    </w:p>
  </w:endnote>
  <w:endnote w:type="continuationSeparator" w:id="0">
    <w:p w14:paraId="77E08B14" w14:textId="77777777" w:rsidR="00142694" w:rsidRDefault="00142694" w:rsidP="00555585">
      <w:pPr>
        <w:spacing w:after="0" w:line="240" w:lineRule="auto"/>
      </w:pPr>
      <w:r>
        <w:continuationSeparator/>
      </w:r>
    </w:p>
  </w:endnote>
  <w:endnote w:type="continuationNotice" w:id="1">
    <w:p w14:paraId="6A7DF5B8"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535" w14:textId="77777777" w:rsidR="003B17E6" w:rsidRDefault="003B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32D0" w14:textId="77777777" w:rsidR="003B17E6" w:rsidRPr="00904857" w:rsidRDefault="003B17E6" w:rsidP="00C71C4F">
    <w:pPr>
      <w:pStyle w:val="Footer"/>
    </w:pPr>
    <w:bookmarkStart w:id="3" w:name="_Hlk65150515"/>
    <w:bookmarkStart w:id="4" w:name="_Hlk65150516"/>
    <w:r>
      <w:rPr>
        <w:noProof/>
        <w:lang w:eastAsia="en-GB"/>
      </w:rPr>
      <w:drawing>
        <wp:anchor distT="0" distB="0" distL="114300" distR="114300" simplePos="0" relativeHeight="251658241" behindDoc="1" locked="0" layoutInCell="1" allowOverlap="1" wp14:anchorId="7E2F0109" wp14:editId="6C47BE4D">
          <wp:simplePos x="0" y="0"/>
          <wp:positionH relativeFrom="page">
            <wp:posOffset>0</wp:posOffset>
          </wp:positionH>
          <wp:positionV relativeFrom="page">
            <wp:posOffset>8641080</wp:posOffset>
          </wp:positionV>
          <wp:extent cx="7567200" cy="2095200"/>
          <wp:effectExtent l="0" t="0" r="0" b="0"/>
          <wp:wrapNone/>
          <wp:docPr id="12"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CAA3" w14:textId="77777777" w:rsidR="003B17E6" w:rsidRPr="00904857" w:rsidRDefault="003B17E6" w:rsidP="00C71C4F">
    <w:pPr>
      <w:pStyle w:val="Footer"/>
    </w:pPr>
    <w:r>
      <w:rPr>
        <w:noProof/>
        <w:lang w:eastAsia="en-GB"/>
      </w:rPr>
      <w:drawing>
        <wp:anchor distT="0" distB="0" distL="114300" distR="114300" simplePos="0" relativeHeight="251658242" behindDoc="1" locked="0" layoutInCell="1" allowOverlap="1" wp14:anchorId="647835C7" wp14:editId="72B40302">
          <wp:simplePos x="0" y="0"/>
          <wp:positionH relativeFrom="page">
            <wp:posOffset>0</wp:posOffset>
          </wp:positionH>
          <wp:positionV relativeFrom="page">
            <wp:posOffset>8641080</wp:posOffset>
          </wp:positionV>
          <wp:extent cx="7567200" cy="2095200"/>
          <wp:effectExtent l="0" t="0" r="0" b="0"/>
          <wp:wrapNone/>
          <wp:docPr id="20"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B47F" w14:textId="77777777" w:rsidR="003B17E6" w:rsidRDefault="003B17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EA6A" w14:textId="77777777" w:rsidR="003B17E6" w:rsidRDefault="003B17E6" w:rsidP="00997E07">
    <w:pPr>
      <w:pStyle w:val="Footer"/>
    </w:pPr>
  </w:p>
  <w:p w14:paraId="4C05B91A" w14:textId="77777777" w:rsidR="003B17E6" w:rsidRDefault="003B17E6" w:rsidP="00997E07">
    <w:pPr>
      <w:pStyle w:val="Footer"/>
    </w:pPr>
  </w:p>
  <w:p w14:paraId="129AF70F" w14:textId="77777777" w:rsidR="003B17E6" w:rsidRDefault="003B17E6" w:rsidP="00997E07">
    <w:pPr>
      <w:pStyle w:val="Footer"/>
    </w:pPr>
  </w:p>
  <w:p w14:paraId="5E04C168" w14:textId="77777777" w:rsidR="003B17E6" w:rsidRDefault="003B17E6" w:rsidP="00997E07">
    <w:pPr>
      <w:pStyle w:val="Footer"/>
    </w:pPr>
  </w:p>
  <w:p w14:paraId="777C8D24" w14:textId="77777777" w:rsidR="003B17E6" w:rsidRDefault="003B17E6" w:rsidP="00997E07">
    <w:pPr>
      <w:pStyle w:val="Footer"/>
    </w:pPr>
  </w:p>
  <w:p w14:paraId="003FA088" w14:textId="77777777" w:rsidR="003B17E6" w:rsidRPr="004A743E" w:rsidRDefault="003B17E6"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23FE3E06" wp14:editId="6B9E43FF">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4861" w14:textId="77777777" w:rsidR="003B17E6" w:rsidRPr="00904857" w:rsidRDefault="003B17E6" w:rsidP="00C71C4F">
    <w:pPr>
      <w:pStyle w:val="Footer"/>
    </w:pPr>
    <w:r>
      <w:rPr>
        <w:noProof/>
        <w:lang w:eastAsia="en-GB"/>
      </w:rPr>
      <w:drawing>
        <wp:anchor distT="0" distB="0" distL="114300" distR="114300" simplePos="0" relativeHeight="251658243" behindDoc="1" locked="0" layoutInCell="1" allowOverlap="1" wp14:anchorId="1EE77833" wp14:editId="30FAF087">
          <wp:simplePos x="0" y="0"/>
          <wp:positionH relativeFrom="page">
            <wp:posOffset>0</wp:posOffset>
          </wp:positionH>
          <wp:positionV relativeFrom="page">
            <wp:posOffset>8641080</wp:posOffset>
          </wp:positionV>
          <wp:extent cx="7567200" cy="2095200"/>
          <wp:effectExtent l="0" t="0" r="0" b="0"/>
          <wp:wrapNone/>
          <wp:docPr id="2146767333"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A51" w14:textId="77777777" w:rsidR="003B17E6" w:rsidRDefault="003B17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34" w14:textId="77777777" w:rsidR="003B17E6" w:rsidRDefault="003B17E6" w:rsidP="00C71C4F">
    <w:pPr>
      <w:pStyle w:val="Footer"/>
    </w:pPr>
    <w:r>
      <w:rPr>
        <w:noProof/>
        <w:lang w:eastAsia="en-GB"/>
      </w:rPr>
      <w:drawing>
        <wp:anchor distT="0" distB="0" distL="114300" distR="114300" simplePos="0" relativeHeight="251658244" behindDoc="1" locked="1" layoutInCell="1" allowOverlap="1" wp14:anchorId="375533D0" wp14:editId="5AB18C40">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51091404" w14:textId="77777777" w:rsidR="003B17E6" w:rsidRDefault="003B17E6" w:rsidP="00C71C4F">
    <w:pPr>
      <w:pStyle w:val="Footer"/>
    </w:pPr>
  </w:p>
  <w:p w14:paraId="6451CB26" w14:textId="77777777" w:rsidR="003B17E6" w:rsidRDefault="003B17E6" w:rsidP="00C71C4F">
    <w:pPr>
      <w:pStyle w:val="Footer"/>
    </w:pPr>
  </w:p>
  <w:p w14:paraId="30EB531D" w14:textId="77777777" w:rsidR="003B17E6" w:rsidRDefault="003B17E6" w:rsidP="00C71C4F">
    <w:pPr>
      <w:pStyle w:val="Footer"/>
    </w:pPr>
  </w:p>
  <w:p w14:paraId="4EE03F00" w14:textId="77777777" w:rsidR="003B17E6" w:rsidRDefault="003B17E6" w:rsidP="00C71C4F">
    <w:pPr>
      <w:pStyle w:val="Footer"/>
    </w:pPr>
  </w:p>
  <w:p w14:paraId="0BDDB713" w14:textId="77777777" w:rsidR="003B17E6" w:rsidRDefault="003B17E6" w:rsidP="00C71C4F">
    <w:pPr>
      <w:pStyle w:val="Footer"/>
    </w:pPr>
  </w:p>
  <w:p w14:paraId="53C4FFBC" w14:textId="77777777" w:rsidR="003B17E6" w:rsidRDefault="003B17E6" w:rsidP="00C71C4F">
    <w:pPr>
      <w:pStyle w:val="Footer"/>
    </w:pPr>
  </w:p>
  <w:p w14:paraId="4793B31A" w14:textId="77777777" w:rsidR="003B17E6" w:rsidRDefault="003B17E6" w:rsidP="00C71C4F">
    <w:pPr>
      <w:pStyle w:val="Footer"/>
    </w:pPr>
  </w:p>
  <w:p w14:paraId="084AC431" w14:textId="77777777" w:rsidR="003B17E6" w:rsidRPr="00904857" w:rsidRDefault="003B17E6" w:rsidP="00C71C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99E8" w14:textId="77777777" w:rsidR="003B17E6" w:rsidRPr="00904857" w:rsidRDefault="003B17E6" w:rsidP="003A16E9">
    <w:pPr>
      <w:pStyle w:val="Footer"/>
    </w:pPr>
    <w:r>
      <w:rPr>
        <w:noProof/>
        <w:lang w:eastAsia="en-GB"/>
      </w:rPr>
      <w:drawing>
        <wp:anchor distT="0" distB="0" distL="114300" distR="114300" simplePos="0" relativeHeight="251658240" behindDoc="1" locked="0" layoutInCell="1" allowOverlap="1" wp14:anchorId="37234567" wp14:editId="5F2A5E74">
          <wp:simplePos x="0" y="0"/>
          <wp:positionH relativeFrom="page">
            <wp:posOffset>0</wp:posOffset>
          </wp:positionH>
          <wp:positionV relativeFrom="page">
            <wp:posOffset>8641080</wp:posOffset>
          </wp:positionV>
          <wp:extent cx="7567200" cy="2095200"/>
          <wp:effectExtent l="0" t="0" r="0" b="0"/>
          <wp:wrapNone/>
          <wp:docPr id="1072428013" name="Picture 1072428013"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D659" w14:textId="77777777" w:rsidR="00142694" w:rsidRDefault="00142694" w:rsidP="00555585">
      <w:pPr>
        <w:spacing w:after="0" w:line="240" w:lineRule="auto"/>
      </w:pPr>
      <w:r>
        <w:separator/>
      </w:r>
    </w:p>
  </w:footnote>
  <w:footnote w:type="continuationSeparator" w:id="0">
    <w:p w14:paraId="23750802" w14:textId="77777777" w:rsidR="00142694" w:rsidRDefault="00142694" w:rsidP="00555585">
      <w:pPr>
        <w:spacing w:after="0" w:line="240" w:lineRule="auto"/>
      </w:pPr>
      <w:r>
        <w:continuationSeparator/>
      </w:r>
    </w:p>
  </w:footnote>
  <w:footnote w:type="continuationNotice" w:id="1">
    <w:p w14:paraId="157E8333"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7D15" w14:textId="77777777" w:rsidR="003B17E6" w:rsidRDefault="003B17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DA72" w14:textId="16197EA8" w:rsidR="003B17E6" w:rsidRPr="003B17E6" w:rsidRDefault="003B17E6" w:rsidP="003B17E6">
    <w:pPr>
      <w:pStyle w:val="Header"/>
    </w:pPr>
    <w:bookmarkStart w:id="32" w:name="bmkBackPage"/>
    <w:bookmarkEnd w:id="32"/>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240F" w14:textId="77777777" w:rsidR="003B17E6" w:rsidRDefault="003B17E6" w:rsidP="003A16E9">
    <w:pPr>
      <w:pStyle w:val="Header"/>
      <w:spacing w:before="720"/>
    </w:pPr>
    <w:r>
      <w:rPr>
        <w:noProof/>
        <w:lang w:eastAsia="en-GB"/>
      </w:rPr>
      <w:drawing>
        <wp:inline distT="0" distB="0" distL="0" distR="0" wp14:anchorId="162D2CC4" wp14:editId="5E1B2275">
          <wp:extent cx="1616149" cy="1233038"/>
          <wp:effectExtent l="0" t="0" r="3175" b="0"/>
          <wp:docPr id="58702352" name="Picture 5870235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5C8" w14:textId="77777777" w:rsidR="003B17E6" w:rsidRDefault="003B17E6">
    <w:pPr>
      <w:pStyle w:val="Header"/>
    </w:pPr>
    <w:bookmarkStart w:id="2" w:name="bmkTitlePage"/>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7428" w14:textId="77777777" w:rsidR="003B17E6" w:rsidRDefault="003B17E6" w:rsidP="004E1570">
    <w:pPr>
      <w:pStyle w:val="Header"/>
      <w:spacing w:before="720"/>
    </w:pPr>
    <w:r>
      <w:rPr>
        <w:noProof/>
        <w:lang w:eastAsia="en-GB"/>
      </w:rPr>
      <w:drawing>
        <wp:inline distT="0" distB="0" distL="0" distR="0" wp14:anchorId="5BAA25F8" wp14:editId="297F7289">
          <wp:extent cx="1616149" cy="1233038"/>
          <wp:effectExtent l="0" t="0" r="3175" b="5715"/>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F31D" w14:textId="77777777" w:rsidR="003B17E6" w:rsidRDefault="003B17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bmkContents"/>
  <w:bookmarkEnd w:id="5"/>
  <w:p w14:paraId="7A97FD69" w14:textId="745B07C3" w:rsidR="003B17E6" w:rsidRDefault="003B17E6"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3B17E6">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3B17E6">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 DOCVARIABLE  txtHdr \* MERGEFORMAT ">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041E" w14:textId="77777777" w:rsidR="003B17E6" w:rsidRDefault="003B17E6" w:rsidP="004E1570">
    <w:pPr>
      <w:pStyle w:val="Header"/>
      <w:spacing w:before="720"/>
    </w:pPr>
    <w:r>
      <w:rPr>
        <w:noProof/>
        <w:lang w:eastAsia="en-GB"/>
      </w:rPr>
      <w:drawing>
        <wp:inline distT="0" distB="0" distL="0" distR="0" wp14:anchorId="1F15C758" wp14:editId="218D49A5">
          <wp:extent cx="1616149" cy="1233038"/>
          <wp:effectExtent l="0" t="0" r="3175" b="5715"/>
          <wp:docPr id="13990887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92D" w14:textId="77777777" w:rsidR="003B17E6" w:rsidRDefault="003B17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9095" w14:textId="53C64213" w:rsidR="003B17E6" w:rsidRDefault="003B17E6"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3B17E6">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 DOCVARIABLE  txtHdr  \* MERGEFORMAT ">
      <w:r w:rsidRPr="003B17E6">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 DOCVARIABLE  txtHdr \* MERGEFORMAT ">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CF14" w14:textId="77777777" w:rsidR="003B17E6" w:rsidRDefault="003B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53505B"/>
    <w:multiLevelType w:val="multilevel"/>
    <w:tmpl w:val="59F47C2A"/>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7C6087A"/>
    <w:multiLevelType w:val="multilevel"/>
    <w:tmpl w:val="431E4A4C"/>
    <w:numStyleLink w:val="ORRSummary"/>
  </w:abstractNum>
  <w:abstractNum w:abstractNumId="7" w15:restartNumberingAfterBreak="0">
    <w:nsid w:val="31CE6FA9"/>
    <w:multiLevelType w:val="hybridMultilevel"/>
    <w:tmpl w:val="E8803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E60365"/>
    <w:multiLevelType w:val="multilevel"/>
    <w:tmpl w:val="27F6917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D48F1"/>
    <w:multiLevelType w:val="hybridMultilevel"/>
    <w:tmpl w:val="B8CE27A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609DC"/>
    <w:multiLevelType w:val="hybridMultilevel"/>
    <w:tmpl w:val="FA867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5" w15:restartNumberingAfterBreak="0">
    <w:nsid w:val="616C2B85"/>
    <w:multiLevelType w:val="hybridMultilevel"/>
    <w:tmpl w:val="825A4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8BD5682"/>
    <w:multiLevelType w:val="multilevel"/>
    <w:tmpl w:val="EAD453D0"/>
    <w:numStyleLink w:val="NumbListHighlight"/>
  </w:abstractNum>
  <w:abstractNum w:abstractNumId="18"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643778289">
    <w:abstractNumId w:val="14"/>
  </w:num>
  <w:num w:numId="2" w16cid:durableId="170343250">
    <w:abstractNumId w:val="18"/>
  </w:num>
  <w:num w:numId="3" w16cid:durableId="615990203">
    <w:abstractNumId w:val="4"/>
  </w:num>
  <w:num w:numId="4" w16cid:durableId="1539008159">
    <w:abstractNumId w:val="13"/>
  </w:num>
  <w:num w:numId="5" w16cid:durableId="1334801291">
    <w:abstractNumId w:val="5"/>
  </w:num>
  <w:num w:numId="6" w16cid:durableId="35012236">
    <w:abstractNumId w:val="2"/>
  </w:num>
  <w:num w:numId="7" w16cid:durableId="711077664">
    <w:abstractNumId w:val="0"/>
  </w:num>
  <w:num w:numId="8" w16cid:durableId="1604993918">
    <w:abstractNumId w:val="17"/>
  </w:num>
  <w:num w:numId="9" w16cid:durableId="435447028">
    <w:abstractNumId w:val="16"/>
  </w:num>
  <w:num w:numId="10" w16cid:durableId="42141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2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521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12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35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8570">
    <w:abstractNumId w:val="11"/>
  </w:num>
  <w:num w:numId="16" w16cid:durableId="1150167912">
    <w:abstractNumId w:val="9"/>
  </w:num>
  <w:num w:numId="17" w16cid:durableId="1005085200">
    <w:abstractNumId w:val="15"/>
  </w:num>
  <w:num w:numId="18" w16cid:durableId="1354921112">
    <w:abstractNumId w:val="10"/>
  </w:num>
  <w:num w:numId="19" w16cid:durableId="145637004">
    <w:abstractNumId w:val="7"/>
  </w:num>
  <w:num w:numId="20" w16cid:durableId="187303815">
    <w:abstractNumId w:val="12"/>
  </w:num>
  <w:num w:numId="21" w16cid:durableId="1027872505">
    <w:abstractNumId w:val="3"/>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22" w16cid:durableId="2042436743">
    <w:abstractNumId w:val="6"/>
  </w:num>
  <w:num w:numId="23" w16cid:durableId="1781875317">
    <w:abstractNumId w:val="8"/>
  </w:num>
  <w:num w:numId="24" w16cid:durableId="1782145631">
    <w:abstractNumId w:val="1"/>
  </w:num>
  <w:num w:numId="25" w16cid:durableId="50661355">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kele, Harriet">
    <w15:presenceInfo w15:providerId="AD" w15:userId="S::Harriet.Dinkele@orr.gov.uk::e8eaa59b-7b04-490d-af9c-3d8f4416ff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5806|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28B7"/>
    <w:rsid w:val="000032A5"/>
    <w:rsid w:val="00004793"/>
    <w:rsid w:val="0002210B"/>
    <w:rsid w:val="0002541B"/>
    <w:rsid w:val="0003200D"/>
    <w:rsid w:val="0003350C"/>
    <w:rsid w:val="00036DEB"/>
    <w:rsid w:val="00037BD2"/>
    <w:rsid w:val="00041F81"/>
    <w:rsid w:val="00042B65"/>
    <w:rsid w:val="00043DA2"/>
    <w:rsid w:val="0004428A"/>
    <w:rsid w:val="00044FE1"/>
    <w:rsid w:val="00045A0A"/>
    <w:rsid w:val="0005181F"/>
    <w:rsid w:val="00056B83"/>
    <w:rsid w:val="00060052"/>
    <w:rsid w:val="00066737"/>
    <w:rsid w:val="000735F1"/>
    <w:rsid w:val="00076B67"/>
    <w:rsid w:val="00082DAA"/>
    <w:rsid w:val="000833AF"/>
    <w:rsid w:val="00084783"/>
    <w:rsid w:val="00084972"/>
    <w:rsid w:val="0008514C"/>
    <w:rsid w:val="000876CB"/>
    <w:rsid w:val="0009126F"/>
    <w:rsid w:val="0009203F"/>
    <w:rsid w:val="000A0438"/>
    <w:rsid w:val="000A48DD"/>
    <w:rsid w:val="000A4B6C"/>
    <w:rsid w:val="000A6DE7"/>
    <w:rsid w:val="000B0266"/>
    <w:rsid w:val="000B309A"/>
    <w:rsid w:val="000B6176"/>
    <w:rsid w:val="000C2704"/>
    <w:rsid w:val="000C4996"/>
    <w:rsid w:val="000C7B66"/>
    <w:rsid w:val="000D2970"/>
    <w:rsid w:val="000D3C5D"/>
    <w:rsid w:val="000D7F83"/>
    <w:rsid w:val="000E02C4"/>
    <w:rsid w:val="000E135E"/>
    <w:rsid w:val="000E1CFC"/>
    <w:rsid w:val="000E5AB1"/>
    <w:rsid w:val="000E5E49"/>
    <w:rsid w:val="000F4554"/>
    <w:rsid w:val="000F5529"/>
    <w:rsid w:val="000F70BB"/>
    <w:rsid w:val="000F7BB6"/>
    <w:rsid w:val="001012B6"/>
    <w:rsid w:val="00102223"/>
    <w:rsid w:val="00102F62"/>
    <w:rsid w:val="0012081C"/>
    <w:rsid w:val="00120892"/>
    <w:rsid w:val="0012193D"/>
    <w:rsid w:val="0012424B"/>
    <w:rsid w:val="00124287"/>
    <w:rsid w:val="00124D1D"/>
    <w:rsid w:val="00132A73"/>
    <w:rsid w:val="00137015"/>
    <w:rsid w:val="00141746"/>
    <w:rsid w:val="00142694"/>
    <w:rsid w:val="0014715B"/>
    <w:rsid w:val="001526A6"/>
    <w:rsid w:val="00155088"/>
    <w:rsid w:val="0015625B"/>
    <w:rsid w:val="00156D5F"/>
    <w:rsid w:val="00157E4C"/>
    <w:rsid w:val="00160B26"/>
    <w:rsid w:val="00162B03"/>
    <w:rsid w:val="001659DD"/>
    <w:rsid w:val="0016661E"/>
    <w:rsid w:val="00167308"/>
    <w:rsid w:val="0017178C"/>
    <w:rsid w:val="00171E62"/>
    <w:rsid w:val="00175A76"/>
    <w:rsid w:val="001768F1"/>
    <w:rsid w:val="00180E47"/>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546D"/>
    <w:rsid w:val="001E7C87"/>
    <w:rsid w:val="001F1140"/>
    <w:rsid w:val="001F2F5C"/>
    <w:rsid w:val="001F4F0C"/>
    <w:rsid w:val="001F55B8"/>
    <w:rsid w:val="001F79F5"/>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13ED"/>
    <w:rsid w:val="0025242F"/>
    <w:rsid w:val="00257BE5"/>
    <w:rsid w:val="00262715"/>
    <w:rsid w:val="00272200"/>
    <w:rsid w:val="0027578C"/>
    <w:rsid w:val="00276C64"/>
    <w:rsid w:val="00282136"/>
    <w:rsid w:val="0028433A"/>
    <w:rsid w:val="0028445E"/>
    <w:rsid w:val="00286CF2"/>
    <w:rsid w:val="0028735A"/>
    <w:rsid w:val="0029283C"/>
    <w:rsid w:val="00293D38"/>
    <w:rsid w:val="00294DAA"/>
    <w:rsid w:val="00297104"/>
    <w:rsid w:val="002B7995"/>
    <w:rsid w:val="002C5A50"/>
    <w:rsid w:val="002C6E70"/>
    <w:rsid w:val="002D0E5B"/>
    <w:rsid w:val="002D2997"/>
    <w:rsid w:val="002D3609"/>
    <w:rsid w:val="002D3643"/>
    <w:rsid w:val="002D46DA"/>
    <w:rsid w:val="002E2DAD"/>
    <w:rsid w:val="002E7122"/>
    <w:rsid w:val="002E7945"/>
    <w:rsid w:val="002F111F"/>
    <w:rsid w:val="002F1135"/>
    <w:rsid w:val="002F2791"/>
    <w:rsid w:val="002F2A01"/>
    <w:rsid w:val="002F5466"/>
    <w:rsid w:val="002F56B7"/>
    <w:rsid w:val="0030237B"/>
    <w:rsid w:val="003027B1"/>
    <w:rsid w:val="00311FD5"/>
    <w:rsid w:val="00314959"/>
    <w:rsid w:val="003247A4"/>
    <w:rsid w:val="003366E7"/>
    <w:rsid w:val="00337204"/>
    <w:rsid w:val="003417AE"/>
    <w:rsid w:val="0034288F"/>
    <w:rsid w:val="00343838"/>
    <w:rsid w:val="00345FBC"/>
    <w:rsid w:val="00347F87"/>
    <w:rsid w:val="00350594"/>
    <w:rsid w:val="003543C0"/>
    <w:rsid w:val="0035753E"/>
    <w:rsid w:val="0036504A"/>
    <w:rsid w:val="00370CA1"/>
    <w:rsid w:val="00372316"/>
    <w:rsid w:val="00372ABD"/>
    <w:rsid w:val="00374BAE"/>
    <w:rsid w:val="003764B8"/>
    <w:rsid w:val="003813C5"/>
    <w:rsid w:val="00384699"/>
    <w:rsid w:val="00385387"/>
    <w:rsid w:val="00385F6B"/>
    <w:rsid w:val="00386812"/>
    <w:rsid w:val="00386AF7"/>
    <w:rsid w:val="00386E0A"/>
    <w:rsid w:val="003A16E9"/>
    <w:rsid w:val="003A5CB8"/>
    <w:rsid w:val="003A6A27"/>
    <w:rsid w:val="003B008E"/>
    <w:rsid w:val="003B09D0"/>
    <w:rsid w:val="003B1008"/>
    <w:rsid w:val="003B17E6"/>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2863"/>
    <w:rsid w:val="00403C5B"/>
    <w:rsid w:val="00407533"/>
    <w:rsid w:val="00410615"/>
    <w:rsid w:val="004121D9"/>
    <w:rsid w:val="004137E8"/>
    <w:rsid w:val="00414896"/>
    <w:rsid w:val="0042552D"/>
    <w:rsid w:val="004276BA"/>
    <w:rsid w:val="004308C7"/>
    <w:rsid w:val="00433557"/>
    <w:rsid w:val="00433D4D"/>
    <w:rsid w:val="00435062"/>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4092"/>
    <w:rsid w:val="00476327"/>
    <w:rsid w:val="0048293D"/>
    <w:rsid w:val="0048300B"/>
    <w:rsid w:val="00485F4A"/>
    <w:rsid w:val="00486CBD"/>
    <w:rsid w:val="0048774B"/>
    <w:rsid w:val="00490915"/>
    <w:rsid w:val="00491004"/>
    <w:rsid w:val="00493BC6"/>
    <w:rsid w:val="00494943"/>
    <w:rsid w:val="00495203"/>
    <w:rsid w:val="00495EEB"/>
    <w:rsid w:val="004964CA"/>
    <w:rsid w:val="004A0056"/>
    <w:rsid w:val="004A0C10"/>
    <w:rsid w:val="004A24AB"/>
    <w:rsid w:val="004A743E"/>
    <w:rsid w:val="004B2D5D"/>
    <w:rsid w:val="004B336F"/>
    <w:rsid w:val="004C0FAF"/>
    <w:rsid w:val="004C1FDD"/>
    <w:rsid w:val="004C5DBF"/>
    <w:rsid w:val="004D1C50"/>
    <w:rsid w:val="004D52B0"/>
    <w:rsid w:val="004D5D65"/>
    <w:rsid w:val="004D78A8"/>
    <w:rsid w:val="004E57B7"/>
    <w:rsid w:val="004E5ACC"/>
    <w:rsid w:val="004E60C0"/>
    <w:rsid w:val="004E67B1"/>
    <w:rsid w:val="004F15FE"/>
    <w:rsid w:val="004F2AE4"/>
    <w:rsid w:val="004F38A9"/>
    <w:rsid w:val="004F6111"/>
    <w:rsid w:val="004F7360"/>
    <w:rsid w:val="005066A9"/>
    <w:rsid w:val="00510420"/>
    <w:rsid w:val="005165AD"/>
    <w:rsid w:val="00526956"/>
    <w:rsid w:val="00532B91"/>
    <w:rsid w:val="00534962"/>
    <w:rsid w:val="00536E8D"/>
    <w:rsid w:val="00536EB2"/>
    <w:rsid w:val="005421F6"/>
    <w:rsid w:val="00544099"/>
    <w:rsid w:val="005468FF"/>
    <w:rsid w:val="00546AF7"/>
    <w:rsid w:val="005470DB"/>
    <w:rsid w:val="00553B53"/>
    <w:rsid w:val="00555585"/>
    <w:rsid w:val="005612F3"/>
    <w:rsid w:val="00562084"/>
    <w:rsid w:val="005635FA"/>
    <w:rsid w:val="00574B16"/>
    <w:rsid w:val="00580A77"/>
    <w:rsid w:val="00585CEE"/>
    <w:rsid w:val="00591161"/>
    <w:rsid w:val="005962A5"/>
    <w:rsid w:val="00596F73"/>
    <w:rsid w:val="005A5E55"/>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5330"/>
    <w:rsid w:val="005F74FA"/>
    <w:rsid w:val="006023B5"/>
    <w:rsid w:val="00607686"/>
    <w:rsid w:val="00612A6B"/>
    <w:rsid w:val="00613440"/>
    <w:rsid w:val="00615D12"/>
    <w:rsid w:val="00617B7F"/>
    <w:rsid w:val="00621979"/>
    <w:rsid w:val="006242F0"/>
    <w:rsid w:val="00627A15"/>
    <w:rsid w:val="006316B1"/>
    <w:rsid w:val="00632A37"/>
    <w:rsid w:val="006337BD"/>
    <w:rsid w:val="00634342"/>
    <w:rsid w:val="00635574"/>
    <w:rsid w:val="00636173"/>
    <w:rsid w:val="00637198"/>
    <w:rsid w:val="00640445"/>
    <w:rsid w:val="00645EB9"/>
    <w:rsid w:val="006465D2"/>
    <w:rsid w:val="0065616A"/>
    <w:rsid w:val="006562DE"/>
    <w:rsid w:val="00656B7F"/>
    <w:rsid w:val="0066567C"/>
    <w:rsid w:val="006656C4"/>
    <w:rsid w:val="006701F0"/>
    <w:rsid w:val="00673F42"/>
    <w:rsid w:val="00676F98"/>
    <w:rsid w:val="00680F51"/>
    <w:rsid w:val="00681E7A"/>
    <w:rsid w:val="00683A4B"/>
    <w:rsid w:val="00683F80"/>
    <w:rsid w:val="0068692E"/>
    <w:rsid w:val="00691342"/>
    <w:rsid w:val="00695C67"/>
    <w:rsid w:val="00696041"/>
    <w:rsid w:val="00696275"/>
    <w:rsid w:val="006A063F"/>
    <w:rsid w:val="006A6751"/>
    <w:rsid w:val="006B086B"/>
    <w:rsid w:val="006B10E9"/>
    <w:rsid w:val="006B198C"/>
    <w:rsid w:val="006B27E0"/>
    <w:rsid w:val="006B4D6E"/>
    <w:rsid w:val="006C004C"/>
    <w:rsid w:val="006C02BD"/>
    <w:rsid w:val="006C15DB"/>
    <w:rsid w:val="006C39C5"/>
    <w:rsid w:val="006C7602"/>
    <w:rsid w:val="006D1DD8"/>
    <w:rsid w:val="006D4741"/>
    <w:rsid w:val="006D6465"/>
    <w:rsid w:val="006E1B6F"/>
    <w:rsid w:val="006E214D"/>
    <w:rsid w:val="006E25F6"/>
    <w:rsid w:val="006E3201"/>
    <w:rsid w:val="006E55C1"/>
    <w:rsid w:val="006E6C3F"/>
    <w:rsid w:val="006F6490"/>
    <w:rsid w:val="006F663A"/>
    <w:rsid w:val="0070192E"/>
    <w:rsid w:val="00703BE0"/>
    <w:rsid w:val="00704127"/>
    <w:rsid w:val="00705CF5"/>
    <w:rsid w:val="007061B3"/>
    <w:rsid w:val="007062A6"/>
    <w:rsid w:val="00713B94"/>
    <w:rsid w:val="00716CEC"/>
    <w:rsid w:val="00717537"/>
    <w:rsid w:val="007200CC"/>
    <w:rsid w:val="00723A7F"/>
    <w:rsid w:val="00724059"/>
    <w:rsid w:val="007246E1"/>
    <w:rsid w:val="00725DA6"/>
    <w:rsid w:val="007301DB"/>
    <w:rsid w:val="0073071A"/>
    <w:rsid w:val="00731F42"/>
    <w:rsid w:val="00732439"/>
    <w:rsid w:val="0073341B"/>
    <w:rsid w:val="00733DE8"/>
    <w:rsid w:val="00734AF8"/>
    <w:rsid w:val="00741D57"/>
    <w:rsid w:val="00745B89"/>
    <w:rsid w:val="00745F36"/>
    <w:rsid w:val="007515F0"/>
    <w:rsid w:val="00752063"/>
    <w:rsid w:val="0075568C"/>
    <w:rsid w:val="00755F22"/>
    <w:rsid w:val="0075633E"/>
    <w:rsid w:val="0075674E"/>
    <w:rsid w:val="00756E0D"/>
    <w:rsid w:val="00757472"/>
    <w:rsid w:val="00760514"/>
    <w:rsid w:val="00762C46"/>
    <w:rsid w:val="00763DEC"/>
    <w:rsid w:val="00765B68"/>
    <w:rsid w:val="007679D8"/>
    <w:rsid w:val="00773068"/>
    <w:rsid w:val="00776F35"/>
    <w:rsid w:val="007830BE"/>
    <w:rsid w:val="00785937"/>
    <w:rsid w:val="00790401"/>
    <w:rsid w:val="00790AD2"/>
    <w:rsid w:val="0079264A"/>
    <w:rsid w:val="00796755"/>
    <w:rsid w:val="00796A79"/>
    <w:rsid w:val="00796E71"/>
    <w:rsid w:val="007979A7"/>
    <w:rsid w:val="00797F75"/>
    <w:rsid w:val="007A1B80"/>
    <w:rsid w:val="007A1F12"/>
    <w:rsid w:val="007B1555"/>
    <w:rsid w:val="007B5DBC"/>
    <w:rsid w:val="007B7E3E"/>
    <w:rsid w:val="007C43C1"/>
    <w:rsid w:val="007D0452"/>
    <w:rsid w:val="007D5014"/>
    <w:rsid w:val="007E246D"/>
    <w:rsid w:val="007E2744"/>
    <w:rsid w:val="007E2967"/>
    <w:rsid w:val="007E4EC4"/>
    <w:rsid w:val="007E6E4B"/>
    <w:rsid w:val="007F0EE8"/>
    <w:rsid w:val="007F3F24"/>
    <w:rsid w:val="007F4B75"/>
    <w:rsid w:val="007F6498"/>
    <w:rsid w:val="007F6B18"/>
    <w:rsid w:val="00804350"/>
    <w:rsid w:val="00806042"/>
    <w:rsid w:val="00811F37"/>
    <w:rsid w:val="008122F2"/>
    <w:rsid w:val="008145A2"/>
    <w:rsid w:val="0081555F"/>
    <w:rsid w:val="0081639D"/>
    <w:rsid w:val="008167C4"/>
    <w:rsid w:val="00816EAD"/>
    <w:rsid w:val="008174A6"/>
    <w:rsid w:val="00821C1C"/>
    <w:rsid w:val="00826F5D"/>
    <w:rsid w:val="008277B1"/>
    <w:rsid w:val="00827BF7"/>
    <w:rsid w:val="00827C76"/>
    <w:rsid w:val="00831EE0"/>
    <w:rsid w:val="008342A5"/>
    <w:rsid w:val="00835923"/>
    <w:rsid w:val="008374CD"/>
    <w:rsid w:val="0083798F"/>
    <w:rsid w:val="00841B8C"/>
    <w:rsid w:val="008422F2"/>
    <w:rsid w:val="00843CA5"/>
    <w:rsid w:val="008454EE"/>
    <w:rsid w:val="00845EDF"/>
    <w:rsid w:val="00846886"/>
    <w:rsid w:val="008475B8"/>
    <w:rsid w:val="00850659"/>
    <w:rsid w:val="00851E44"/>
    <w:rsid w:val="00852599"/>
    <w:rsid w:val="00852E5A"/>
    <w:rsid w:val="00855FA9"/>
    <w:rsid w:val="00856DAD"/>
    <w:rsid w:val="008624E2"/>
    <w:rsid w:val="00862D9D"/>
    <w:rsid w:val="008640BB"/>
    <w:rsid w:val="008667A9"/>
    <w:rsid w:val="00867A72"/>
    <w:rsid w:val="00873479"/>
    <w:rsid w:val="0087426B"/>
    <w:rsid w:val="00882BEF"/>
    <w:rsid w:val="0088364F"/>
    <w:rsid w:val="008843A3"/>
    <w:rsid w:val="00884568"/>
    <w:rsid w:val="00885126"/>
    <w:rsid w:val="00886DE9"/>
    <w:rsid w:val="008903EE"/>
    <w:rsid w:val="008905FE"/>
    <w:rsid w:val="00890BB8"/>
    <w:rsid w:val="00890C7F"/>
    <w:rsid w:val="008911C0"/>
    <w:rsid w:val="00892CA9"/>
    <w:rsid w:val="00894644"/>
    <w:rsid w:val="008946A7"/>
    <w:rsid w:val="00894D7D"/>
    <w:rsid w:val="00897A5A"/>
    <w:rsid w:val="008A1C58"/>
    <w:rsid w:val="008A1E4C"/>
    <w:rsid w:val="008A22EC"/>
    <w:rsid w:val="008A25C5"/>
    <w:rsid w:val="008A43AD"/>
    <w:rsid w:val="008A4DA6"/>
    <w:rsid w:val="008A7042"/>
    <w:rsid w:val="008A70A2"/>
    <w:rsid w:val="008B13A2"/>
    <w:rsid w:val="008B2316"/>
    <w:rsid w:val="008B39F2"/>
    <w:rsid w:val="008B50A1"/>
    <w:rsid w:val="008B6DC1"/>
    <w:rsid w:val="008C091C"/>
    <w:rsid w:val="008C1870"/>
    <w:rsid w:val="008C30D2"/>
    <w:rsid w:val="008C4C5F"/>
    <w:rsid w:val="008D4781"/>
    <w:rsid w:val="008D5E69"/>
    <w:rsid w:val="008D60C8"/>
    <w:rsid w:val="008E3D37"/>
    <w:rsid w:val="008E3E7D"/>
    <w:rsid w:val="008E5039"/>
    <w:rsid w:val="008E61DF"/>
    <w:rsid w:val="008F04E0"/>
    <w:rsid w:val="008F092B"/>
    <w:rsid w:val="008F0B87"/>
    <w:rsid w:val="008F17F5"/>
    <w:rsid w:val="008F18B3"/>
    <w:rsid w:val="008F1A0A"/>
    <w:rsid w:val="008F676D"/>
    <w:rsid w:val="00901C9A"/>
    <w:rsid w:val="0090243F"/>
    <w:rsid w:val="00903EB2"/>
    <w:rsid w:val="00904857"/>
    <w:rsid w:val="0090622E"/>
    <w:rsid w:val="00907F32"/>
    <w:rsid w:val="009102F8"/>
    <w:rsid w:val="00910E4A"/>
    <w:rsid w:val="00911018"/>
    <w:rsid w:val="009111CF"/>
    <w:rsid w:val="00912431"/>
    <w:rsid w:val="00913800"/>
    <w:rsid w:val="00914861"/>
    <w:rsid w:val="00914D5C"/>
    <w:rsid w:val="00916C88"/>
    <w:rsid w:val="00917106"/>
    <w:rsid w:val="00920F55"/>
    <w:rsid w:val="009265DD"/>
    <w:rsid w:val="009319AE"/>
    <w:rsid w:val="00932A34"/>
    <w:rsid w:val="009334D0"/>
    <w:rsid w:val="009375BF"/>
    <w:rsid w:val="0094130E"/>
    <w:rsid w:val="00952E99"/>
    <w:rsid w:val="009617D1"/>
    <w:rsid w:val="00963E0B"/>
    <w:rsid w:val="009646F5"/>
    <w:rsid w:val="0096719B"/>
    <w:rsid w:val="00973BC6"/>
    <w:rsid w:val="00974DB7"/>
    <w:rsid w:val="009757DA"/>
    <w:rsid w:val="00976301"/>
    <w:rsid w:val="00981E60"/>
    <w:rsid w:val="009822CC"/>
    <w:rsid w:val="00982820"/>
    <w:rsid w:val="009852F9"/>
    <w:rsid w:val="00985547"/>
    <w:rsid w:val="0099269F"/>
    <w:rsid w:val="00992B05"/>
    <w:rsid w:val="00994102"/>
    <w:rsid w:val="009942BE"/>
    <w:rsid w:val="009A2902"/>
    <w:rsid w:val="009A34CB"/>
    <w:rsid w:val="009A5DA3"/>
    <w:rsid w:val="009B04F7"/>
    <w:rsid w:val="009B5565"/>
    <w:rsid w:val="009C3E78"/>
    <w:rsid w:val="009C7888"/>
    <w:rsid w:val="009D4BF5"/>
    <w:rsid w:val="009E0644"/>
    <w:rsid w:val="009E13FE"/>
    <w:rsid w:val="009E34CC"/>
    <w:rsid w:val="009E476E"/>
    <w:rsid w:val="009F4755"/>
    <w:rsid w:val="009F5929"/>
    <w:rsid w:val="009F642E"/>
    <w:rsid w:val="009F6F63"/>
    <w:rsid w:val="00A00A07"/>
    <w:rsid w:val="00A00C0A"/>
    <w:rsid w:val="00A01376"/>
    <w:rsid w:val="00A02455"/>
    <w:rsid w:val="00A032BF"/>
    <w:rsid w:val="00A03720"/>
    <w:rsid w:val="00A03E79"/>
    <w:rsid w:val="00A041F0"/>
    <w:rsid w:val="00A04B58"/>
    <w:rsid w:val="00A107B3"/>
    <w:rsid w:val="00A12B6D"/>
    <w:rsid w:val="00A12D1B"/>
    <w:rsid w:val="00A14898"/>
    <w:rsid w:val="00A17292"/>
    <w:rsid w:val="00A20FD3"/>
    <w:rsid w:val="00A27332"/>
    <w:rsid w:val="00A310F3"/>
    <w:rsid w:val="00A32644"/>
    <w:rsid w:val="00A3724D"/>
    <w:rsid w:val="00A37A9B"/>
    <w:rsid w:val="00A4008F"/>
    <w:rsid w:val="00A400B1"/>
    <w:rsid w:val="00A404D5"/>
    <w:rsid w:val="00A42888"/>
    <w:rsid w:val="00A42FBD"/>
    <w:rsid w:val="00A5113C"/>
    <w:rsid w:val="00A525B9"/>
    <w:rsid w:val="00A575FC"/>
    <w:rsid w:val="00A66AC8"/>
    <w:rsid w:val="00A67863"/>
    <w:rsid w:val="00A70557"/>
    <w:rsid w:val="00A739EA"/>
    <w:rsid w:val="00A73FDA"/>
    <w:rsid w:val="00A77317"/>
    <w:rsid w:val="00A81F89"/>
    <w:rsid w:val="00A90826"/>
    <w:rsid w:val="00A93476"/>
    <w:rsid w:val="00A95FB0"/>
    <w:rsid w:val="00AA4E6C"/>
    <w:rsid w:val="00AB3000"/>
    <w:rsid w:val="00AB52F9"/>
    <w:rsid w:val="00AB6599"/>
    <w:rsid w:val="00AB7230"/>
    <w:rsid w:val="00AC3F17"/>
    <w:rsid w:val="00AD04E5"/>
    <w:rsid w:val="00AE1221"/>
    <w:rsid w:val="00AE2EA2"/>
    <w:rsid w:val="00AF058D"/>
    <w:rsid w:val="00AF198C"/>
    <w:rsid w:val="00AF205E"/>
    <w:rsid w:val="00AF41B0"/>
    <w:rsid w:val="00AF59D8"/>
    <w:rsid w:val="00AF5A70"/>
    <w:rsid w:val="00AF7AF9"/>
    <w:rsid w:val="00B017A5"/>
    <w:rsid w:val="00B03BB6"/>
    <w:rsid w:val="00B04D1F"/>
    <w:rsid w:val="00B04FB8"/>
    <w:rsid w:val="00B0622B"/>
    <w:rsid w:val="00B111AB"/>
    <w:rsid w:val="00B11DAE"/>
    <w:rsid w:val="00B20994"/>
    <w:rsid w:val="00B22F44"/>
    <w:rsid w:val="00B26B7C"/>
    <w:rsid w:val="00B2713B"/>
    <w:rsid w:val="00B2773F"/>
    <w:rsid w:val="00B30895"/>
    <w:rsid w:val="00B30D4D"/>
    <w:rsid w:val="00B328C8"/>
    <w:rsid w:val="00B334A0"/>
    <w:rsid w:val="00B34AB1"/>
    <w:rsid w:val="00B34DB3"/>
    <w:rsid w:val="00B4049D"/>
    <w:rsid w:val="00B40C66"/>
    <w:rsid w:val="00B4435E"/>
    <w:rsid w:val="00B50669"/>
    <w:rsid w:val="00B509AD"/>
    <w:rsid w:val="00B51487"/>
    <w:rsid w:val="00B5283A"/>
    <w:rsid w:val="00B546CE"/>
    <w:rsid w:val="00B56A4E"/>
    <w:rsid w:val="00B56E30"/>
    <w:rsid w:val="00B57613"/>
    <w:rsid w:val="00B5762E"/>
    <w:rsid w:val="00B7284B"/>
    <w:rsid w:val="00B73C52"/>
    <w:rsid w:val="00B80C9B"/>
    <w:rsid w:val="00B81AB7"/>
    <w:rsid w:val="00B8365D"/>
    <w:rsid w:val="00B906DF"/>
    <w:rsid w:val="00B91F92"/>
    <w:rsid w:val="00B922B8"/>
    <w:rsid w:val="00B946A3"/>
    <w:rsid w:val="00B95E8F"/>
    <w:rsid w:val="00BA010D"/>
    <w:rsid w:val="00BA3E54"/>
    <w:rsid w:val="00BA75AF"/>
    <w:rsid w:val="00BB3195"/>
    <w:rsid w:val="00BD1EDB"/>
    <w:rsid w:val="00BE1FE1"/>
    <w:rsid w:val="00BE2981"/>
    <w:rsid w:val="00BF056F"/>
    <w:rsid w:val="00BF2BC5"/>
    <w:rsid w:val="00BF321E"/>
    <w:rsid w:val="00BF3BAC"/>
    <w:rsid w:val="00BF50D6"/>
    <w:rsid w:val="00BF6346"/>
    <w:rsid w:val="00BF6A60"/>
    <w:rsid w:val="00C00032"/>
    <w:rsid w:val="00C10522"/>
    <w:rsid w:val="00C129B9"/>
    <w:rsid w:val="00C12DE6"/>
    <w:rsid w:val="00C15B7B"/>
    <w:rsid w:val="00C23E57"/>
    <w:rsid w:val="00C260C9"/>
    <w:rsid w:val="00C261C7"/>
    <w:rsid w:val="00C26E3E"/>
    <w:rsid w:val="00C32699"/>
    <w:rsid w:val="00C35494"/>
    <w:rsid w:val="00C37018"/>
    <w:rsid w:val="00C42B54"/>
    <w:rsid w:val="00C43F22"/>
    <w:rsid w:val="00C4471E"/>
    <w:rsid w:val="00C44B4E"/>
    <w:rsid w:val="00C50737"/>
    <w:rsid w:val="00C50D57"/>
    <w:rsid w:val="00C50F62"/>
    <w:rsid w:val="00C54CD1"/>
    <w:rsid w:val="00C57A84"/>
    <w:rsid w:val="00C6176E"/>
    <w:rsid w:val="00C61F00"/>
    <w:rsid w:val="00C62A1D"/>
    <w:rsid w:val="00C6719E"/>
    <w:rsid w:val="00C7169D"/>
    <w:rsid w:val="00C76255"/>
    <w:rsid w:val="00C76E4E"/>
    <w:rsid w:val="00C8418E"/>
    <w:rsid w:val="00C84CC1"/>
    <w:rsid w:val="00C91699"/>
    <w:rsid w:val="00C97CC2"/>
    <w:rsid w:val="00C97F2B"/>
    <w:rsid w:val="00CA080B"/>
    <w:rsid w:val="00CA25B2"/>
    <w:rsid w:val="00CA2A88"/>
    <w:rsid w:val="00CB359C"/>
    <w:rsid w:val="00CC0085"/>
    <w:rsid w:val="00CC15CA"/>
    <w:rsid w:val="00CC21C9"/>
    <w:rsid w:val="00CC51FF"/>
    <w:rsid w:val="00CD62FF"/>
    <w:rsid w:val="00CE2434"/>
    <w:rsid w:val="00CE4C99"/>
    <w:rsid w:val="00CE5EE2"/>
    <w:rsid w:val="00CE6083"/>
    <w:rsid w:val="00CE68FA"/>
    <w:rsid w:val="00CE7358"/>
    <w:rsid w:val="00CF71F5"/>
    <w:rsid w:val="00CF7B66"/>
    <w:rsid w:val="00D00048"/>
    <w:rsid w:val="00D0044E"/>
    <w:rsid w:val="00D07E76"/>
    <w:rsid w:val="00D10D3A"/>
    <w:rsid w:val="00D1435A"/>
    <w:rsid w:val="00D2010B"/>
    <w:rsid w:val="00D20E23"/>
    <w:rsid w:val="00D21C2C"/>
    <w:rsid w:val="00D22364"/>
    <w:rsid w:val="00D2517B"/>
    <w:rsid w:val="00D25F7E"/>
    <w:rsid w:val="00D27573"/>
    <w:rsid w:val="00D3030F"/>
    <w:rsid w:val="00D3273A"/>
    <w:rsid w:val="00D401C8"/>
    <w:rsid w:val="00D40E5E"/>
    <w:rsid w:val="00D416AD"/>
    <w:rsid w:val="00D41C56"/>
    <w:rsid w:val="00D42F12"/>
    <w:rsid w:val="00D435F4"/>
    <w:rsid w:val="00D477C4"/>
    <w:rsid w:val="00D512FF"/>
    <w:rsid w:val="00D55AD3"/>
    <w:rsid w:val="00D55BB5"/>
    <w:rsid w:val="00D6141A"/>
    <w:rsid w:val="00D6160E"/>
    <w:rsid w:val="00D61976"/>
    <w:rsid w:val="00D643F1"/>
    <w:rsid w:val="00D7043B"/>
    <w:rsid w:val="00D7062B"/>
    <w:rsid w:val="00D70ECD"/>
    <w:rsid w:val="00D735B7"/>
    <w:rsid w:val="00D74EC6"/>
    <w:rsid w:val="00D776B6"/>
    <w:rsid w:val="00D82D3C"/>
    <w:rsid w:val="00D8563F"/>
    <w:rsid w:val="00D9154E"/>
    <w:rsid w:val="00D92143"/>
    <w:rsid w:val="00D973E5"/>
    <w:rsid w:val="00D97BF7"/>
    <w:rsid w:val="00DA0028"/>
    <w:rsid w:val="00DA02F0"/>
    <w:rsid w:val="00DA0DA7"/>
    <w:rsid w:val="00DA1112"/>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0FAA"/>
    <w:rsid w:val="00DF189F"/>
    <w:rsid w:val="00DF2553"/>
    <w:rsid w:val="00DF6946"/>
    <w:rsid w:val="00E03CCC"/>
    <w:rsid w:val="00E0561E"/>
    <w:rsid w:val="00E061E1"/>
    <w:rsid w:val="00E07584"/>
    <w:rsid w:val="00E07C76"/>
    <w:rsid w:val="00E10006"/>
    <w:rsid w:val="00E104D1"/>
    <w:rsid w:val="00E11F8B"/>
    <w:rsid w:val="00E14B67"/>
    <w:rsid w:val="00E1699D"/>
    <w:rsid w:val="00E23B4D"/>
    <w:rsid w:val="00E25F9C"/>
    <w:rsid w:val="00E27807"/>
    <w:rsid w:val="00E31153"/>
    <w:rsid w:val="00E360E5"/>
    <w:rsid w:val="00E3647D"/>
    <w:rsid w:val="00E41092"/>
    <w:rsid w:val="00E450CC"/>
    <w:rsid w:val="00E46FDA"/>
    <w:rsid w:val="00E507FC"/>
    <w:rsid w:val="00E53401"/>
    <w:rsid w:val="00E548C8"/>
    <w:rsid w:val="00E54EEF"/>
    <w:rsid w:val="00E5669C"/>
    <w:rsid w:val="00E57327"/>
    <w:rsid w:val="00E61A8D"/>
    <w:rsid w:val="00E63058"/>
    <w:rsid w:val="00E638CC"/>
    <w:rsid w:val="00E63CEB"/>
    <w:rsid w:val="00E71960"/>
    <w:rsid w:val="00E7266B"/>
    <w:rsid w:val="00E73450"/>
    <w:rsid w:val="00E73568"/>
    <w:rsid w:val="00E76376"/>
    <w:rsid w:val="00E81AAE"/>
    <w:rsid w:val="00E8348A"/>
    <w:rsid w:val="00E871F3"/>
    <w:rsid w:val="00E87263"/>
    <w:rsid w:val="00E90359"/>
    <w:rsid w:val="00E90510"/>
    <w:rsid w:val="00E93D30"/>
    <w:rsid w:val="00E94B75"/>
    <w:rsid w:val="00E94F29"/>
    <w:rsid w:val="00E955B8"/>
    <w:rsid w:val="00E96219"/>
    <w:rsid w:val="00EA25C5"/>
    <w:rsid w:val="00EA2FB4"/>
    <w:rsid w:val="00EA449D"/>
    <w:rsid w:val="00EA6405"/>
    <w:rsid w:val="00EB0DC4"/>
    <w:rsid w:val="00EB0EDA"/>
    <w:rsid w:val="00EB4D22"/>
    <w:rsid w:val="00EB64CF"/>
    <w:rsid w:val="00EB6E48"/>
    <w:rsid w:val="00EB72F2"/>
    <w:rsid w:val="00EC1ABC"/>
    <w:rsid w:val="00EC2A84"/>
    <w:rsid w:val="00EC3758"/>
    <w:rsid w:val="00EC3EEC"/>
    <w:rsid w:val="00EC4B09"/>
    <w:rsid w:val="00EC5142"/>
    <w:rsid w:val="00EC6B13"/>
    <w:rsid w:val="00ED0A15"/>
    <w:rsid w:val="00ED27F4"/>
    <w:rsid w:val="00ED3BA5"/>
    <w:rsid w:val="00ED4E1F"/>
    <w:rsid w:val="00ED5E8A"/>
    <w:rsid w:val="00ED6FD1"/>
    <w:rsid w:val="00EE0513"/>
    <w:rsid w:val="00EE278D"/>
    <w:rsid w:val="00EE5809"/>
    <w:rsid w:val="00EE5FED"/>
    <w:rsid w:val="00EF09B1"/>
    <w:rsid w:val="00EF0A40"/>
    <w:rsid w:val="00EF33AC"/>
    <w:rsid w:val="00EF3FD3"/>
    <w:rsid w:val="00EF62CE"/>
    <w:rsid w:val="00F01773"/>
    <w:rsid w:val="00F0335D"/>
    <w:rsid w:val="00F052B9"/>
    <w:rsid w:val="00F056ED"/>
    <w:rsid w:val="00F058E3"/>
    <w:rsid w:val="00F1040F"/>
    <w:rsid w:val="00F1129E"/>
    <w:rsid w:val="00F165F6"/>
    <w:rsid w:val="00F17935"/>
    <w:rsid w:val="00F20E70"/>
    <w:rsid w:val="00F2236D"/>
    <w:rsid w:val="00F2241A"/>
    <w:rsid w:val="00F23344"/>
    <w:rsid w:val="00F24468"/>
    <w:rsid w:val="00F266B7"/>
    <w:rsid w:val="00F27257"/>
    <w:rsid w:val="00F309D3"/>
    <w:rsid w:val="00F33BA6"/>
    <w:rsid w:val="00F345E3"/>
    <w:rsid w:val="00F3535F"/>
    <w:rsid w:val="00F35764"/>
    <w:rsid w:val="00F373D0"/>
    <w:rsid w:val="00F4453E"/>
    <w:rsid w:val="00F454C5"/>
    <w:rsid w:val="00F521D3"/>
    <w:rsid w:val="00F52217"/>
    <w:rsid w:val="00F54CB6"/>
    <w:rsid w:val="00F57347"/>
    <w:rsid w:val="00F670B0"/>
    <w:rsid w:val="00F679B4"/>
    <w:rsid w:val="00F75C72"/>
    <w:rsid w:val="00F76054"/>
    <w:rsid w:val="00F76E31"/>
    <w:rsid w:val="00F77726"/>
    <w:rsid w:val="00F77DF3"/>
    <w:rsid w:val="00F80A22"/>
    <w:rsid w:val="00F83493"/>
    <w:rsid w:val="00F85D04"/>
    <w:rsid w:val="00F860CE"/>
    <w:rsid w:val="00F90A82"/>
    <w:rsid w:val="00F93A27"/>
    <w:rsid w:val="00F93B87"/>
    <w:rsid w:val="00F942B9"/>
    <w:rsid w:val="00F94A27"/>
    <w:rsid w:val="00F97820"/>
    <w:rsid w:val="00FA07A9"/>
    <w:rsid w:val="00FA767B"/>
    <w:rsid w:val="00FB0A6C"/>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3378"/>
    <w:rsid w:val="00FD4279"/>
    <w:rsid w:val="00FD6DCF"/>
    <w:rsid w:val="00FE0ED2"/>
    <w:rsid w:val="00FE249B"/>
    <w:rsid w:val="00FE2992"/>
    <w:rsid w:val="00FE40B6"/>
    <w:rsid w:val="00FE6E07"/>
    <w:rsid w:val="00FF09BF"/>
    <w:rsid w:val="00FF2534"/>
    <w:rsid w:val="00FF77E6"/>
    <w:rsid w:val="05C4E335"/>
    <w:rsid w:val="0D42C668"/>
    <w:rsid w:val="10548F0B"/>
    <w:rsid w:val="1992C158"/>
    <w:rsid w:val="19C2306D"/>
    <w:rsid w:val="1CC04985"/>
    <w:rsid w:val="1CD0A1E8"/>
    <w:rsid w:val="22A89246"/>
    <w:rsid w:val="2A710B16"/>
    <w:rsid w:val="2D5F9543"/>
    <w:rsid w:val="2F6A2320"/>
    <w:rsid w:val="33611A11"/>
    <w:rsid w:val="36224BEA"/>
    <w:rsid w:val="3814867E"/>
    <w:rsid w:val="3B2EAC1D"/>
    <w:rsid w:val="3BDF0851"/>
    <w:rsid w:val="3E10C217"/>
    <w:rsid w:val="3E452429"/>
    <w:rsid w:val="4CC7374A"/>
    <w:rsid w:val="4E03BA8E"/>
    <w:rsid w:val="567EF6F8"/>
    <w:rsid w:val="585483FF"/>
    <w:rsid w:val="58BD2BFF"/>
    <w:rsid w:val="6F209C80"/>
    <w:rsid w:val="77A3F6D2"/>
    <w:rsid w:val="79340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5E5DA910-B204-4979-B6F7-CB37D83E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B17E6"/>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3B17E6"/>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3B17E6"/>
    <w:pPr>
      <w:keepNext/>
      <w:keepLines/>
      <w:pageBreakBefore/>
      <w:numPr>
        <w:numId w:val="6"/>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3B17E6"/>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3B17E6"/>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3B17E6"/>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3B17E6"/>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3B17E6"/>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3B17E6"/>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3B17E6"/>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B17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17E6"/>
    <w:rPr>
      <w:rFonts w:ascii="Arial" w:hAnsi="Arial"/>
      <w:sz w:val="24"/>
    </w:rPr>
  </w:style>
  <w:style w:type="paragraph" w:styleId="Footer">
    <w:name w:val="footer"/>
    <w:basedOn w:val="Normal"/>
    <w:link w:val="FooterChar"/>
    <w:uiPriority w:val="99"/>
    <w:semiHidden/>
    <w:rsid w:val="003B17E6"/>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3B17E6"/>
    <w:rPr>
      <w:rFonts w:ascii="Arial" w:hAnsi="Arial"/>
      <w:color w:val="000000" w:themeColor="text1"/>
      <w:sz w:val="20"/>
    </w:rPr>
  </w:style>
  <w:style w:type="character" w:styleId="PlaceholderText">
    <w:name w:val="Placeholder Text"/>
    <w:basedOn w:val="DefaultParagraphFont"/>
    <w:uiPriority w:val="99"/>
    <w:semiHidden/>
    <w:rsid w:val="003B17E6"/>
    <w:rPr>
      <w:color w:val="808080"/>
    </w:rPr>
  </w:style>
  <w:style w:type="character" w:customStyle="1" w:styleId="Heading1Char">
    <w:name w:val="Heading 1 Char"/>
    <w:aliases w:val="DocTitle Char"/>
    <w:basedOn w:val="DefaultParagraphFont"/>
    <w:link w:val="Heading1"/>
    <w:uiPriority w:val="39"/>
    <w:rsid w:val="003B17E6"/>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3B17E6"/>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3B17E6"/>
    <w:pPr>
      <w:numPr>
        <w:numId w:val="22"/>
      </w:numPr>
      <w:pBdr>
        <w:bottom w:val="single" w:sz="24" w:space="4" w:color="ECC8ED" w:themeColor="accent3" w:themeTint="33"/>
      </w:pBdr>
    </w:pPr>
  </w:style>
  <w:style w:type="paragraph" w:customStyle="1" w:styleId="Summarybullet">
    <w:name w:val="Summary bullet"/>
    <w:basedOn w:val="Summaryparagraph"/>
    <w:uiPriority w:val="1"/>
    <w:qFormat/>
    <w:rsid w:val="003B17E6"/>
    <w:pPr>
      <w:numPr>
        <w:ilvl w:val="1"/>
      </w:numPr>
    </w:pPr>
  </w:style>
  <w:style w:type="paragraph" w:customStyle="1" w:styleId="Summaryheading">
    <w:name w:val="Summary heading"/>
    <w:basedOn w:val="Heading3"/>
    <w:next w:val="Summaryparagraph"/>
    <w:qFormat/>
    <w:rsid w:val="003B17E6"/>
    <w:rPr>
      <w:color w:val="702472" w:themeColor="accent3"/>
    </w:rPr>
  </w:style>
  <w:style w:type="character" w:customStyle="1" w:styleId="Heading3Char">
    <w:name w:val="Heading 3 Char"/>
    <w:aliases w:val="Heading 3 (double) Char"/>
    <w:basedOn w:val="DefaultParagraphFont"/>
    <w:link w:val="Heading3"/>
    <w:uiPriority w:val="8"/>
    <w:rsid w:val="003B17E6"/>
    <w:rPr>
      <w:rFonts w:ascii="Arial" w:eastAsiaTheme="majorEastAsia" w:hAnsi="Arial" w:cstheme="majorBidi"/>
      <w:b/>
      <w:color w:val="253268" w:themeColor="text2"/>
      <w:sz w:val="36"/>
      <w:szCs w:val="24"/>
    </w:rPr>
  </w:style>
  <w:style w:type="numbering" w:customStyle="1" w:styleId="ORRSummary">
    <w:name w:val="ORRSummary"/>
    <w:uiPriority w:val="99"/>
    <w:rsid w:val="003B17E6"/>
    <w:pPr>
      <w:numPr>
        <w:numId w:val="2"/>
      </w:numPr>
    </w:pPr>
  </w:style>
  <w:style w:type="paragraph" w:customStyle="1" w:styleId="Numberedparagraphdouble">
    <w:name w:val="Numbered paragraph (double)"/>
    <w:aliases w:val="Numbered paragraph (single)"/>
    <w:basedOn w:val="Normal"/>
    <w:uiPriority w:val="8"/>
    <w:qFormat/>
    <w:rsid w:val="003B17E6"/>
    <w:pPr>
      <w:numPr>
        <w:ilvl w:val="1"/>
        <w:numId w:val="6"/>
      </w:numPr>
    </w:pPr>
  </w:style>
  <w:style w:type="paragraph" w:customStyle="1" w:styleId="Bulletround">
    <w:name w:val="Bullet (round)"/>
    <w:aliases w:val="Bullet (square)"/>
    <w:basedOn w:val="Normal"/>
    <w:uiPriority w:val="10"/>
    <w:qFormat/>
    <w:rsid w:val="003B17E6"/>
    <w:pPr>
      <w:numPr>
        <w:ilvl w:val="5"/>
        <w:numId w:val="6"/>
      </w:numPr>
    </w:pPr>
  </w:style>
  <w:style w:type="paragraph" w:customStyle="1" w:styleId="Bullet-">
    <w:name w:val="Bullet (-)"/>
    <w:basedOn w:val="Normal"/>
    <w:uiPriority w:val="11"/>
    <w:qFormat/>
    <w:rsid w:val="003B17E6"/>
    <w:pPr>
      <w:numPr>
        <w:ilvl w:val="6"/>
        <w:numId w:val="6"/>
      </w:numPr>
    </w:pPr>
  </w:style>
  <w:style w:type="paragraph" w:customStyle="1" w:styleId="Bulletalpha">
    <w:name w:val="Bullet (alpha)"/>
    <w:basedOn w:val="Normal"/>
    <w:uiPriority w:val="11"/>
    <w:qFormat/>
    <w:rsid w:val="003B17E6"/>
    <w:pPr>
      <w:numPr>
        <w:ilvl w:val="2"/>
        <w:numId w:val="6"/>
      </w:numPr>
    </w:pPr>
  </w:style>
  <w:style w:type="paragraph" w:customStyle="1" w:styleId="Bulletroman">
    <w:name w:val="Bullet (roman)"/>
    <w:basedOn w:val="Normal"/>
    <w:uiPriority w:val="11"/>
    <w:qFormat/>
    <w:rsid w:val="003B17E6"/>
    <w:pPr>
      <w:numPr>
        <w:ilvl w:val="3"/>
        <w:numId w:val="6"/>
      </w:numPr>
    </w:pPr>
  </w:style>
  <w:style w:type="paragraph" w:customStyle="1" w:styleId="NormalBulletround">
    <w:name w:val="Normal Bullet (round)"/>
    <w:aliases w:val="Normal Bullet (square)"/>
    <w:basedOn w:val="Normal"/>
    <w:uiPriority w:val="4"/>
    <w:qFormat/>
    <w:rsid w:val="003B17E6"/>
    <w:pPr>
      <w:numPr>
        <w:ilvl w:val="4"/>
        <w:numId w:val="21"/>
      </w:numPr>
    </w:pPr>
  </w:style>
  <w:style w:type="paragraph" w:customStyle="1" w:styleId="NormalBullet-">
    <w:name w:val="Normal Bullet (-)"/>
    <w:basedOn w:val="Normal"/>
    <w:uiPriority w:val="5"/>
    <w:qFormat/>
    <w:rsid w:val="003B17E6"/>
    <w:pPr>
      <w:numPr>
        <w:ilvl w:val="5"/>
        <w:numId w:val="21"/>
      </w:numPr>
    </w:pPr>
  </w:style>
  <w:style w:type="paragraph" w:customStyle="1" w:styleId="NormalBulletalpha">
    <w:name w:val="Normal Bullet (alpha)"/>
    <w:basedOn w:val="Normal"/>
    <w:uiPriority w:val="5"/>
    <w:qFormat/>
    <w:rsid w:val="003B17E6"/>
    <w:pPr>
      <w:numPr>
        <w:ilvl w:val="1"/>
        <w:numId w:val="21"/>
      </w:numPr>
    </w:pPr>
  </w:style>
  <w:style w:type="paragraph" w:customStyle="1" w:styleId="NormalBulletroman">
    <w:name w:val="Normal Bullet (roman)"/>
    <w:basedOn w:val="Normal"/>
    <w:uiPriority w:val="5"/>
    <w:qFormat/>
    <w:rsid w:val="003B17E6"/>
    <w:pPr>
      <w:numPr>
        <w:ilvl w:val="2"/>
        <w:numId w:val="21"/>
      </w:numPr>
    </w:pPr>
  </w:style>
  <w:style w:type="paragraph" w:customStyle="1" w:styleId="NormalBulletnumber">
    <w:name w:val="Normal Bullet (number)"/>
    <w:basedOn w:val="NormalBulletroman"/>
    <w:uiPriority w:val="6"/>
    <w:qFormat/>
    <w:rsid w:val="003B17E6"/>
    <w:pPr>
      <w:numPr>
        <w:ilvl w:val="3"/>
      </w:numPr>
    </w:pPr>
  </w:style>
  <w:style w:type="numbering" w:customStyle="1" w:styleId="ORRNormalList">
    <w:name w:val="ORRNormalList"/>
    <w:uiPriority w:val="99"/>
    <w:rsid w:val="003B17E6"/>
    <w:pPr>
      <w:numPr>
        <w:numId w:val="3"/>
      </w:numPr>
    </w:pPr>
  </w:style>
  <w:style w:type="paragraph" w:customStyle="1" w:styleId="Boxedparagraph">
    <w:name w:val="Boxed paragraph"/>
    <w:basedOn w:val="Normal"/>
    <w:uiPriority w:val="13"/>
    <w:qFormat/>
    <w:rsid w:val="003B17E6"/>
    <w:pPr>
      <w:numPr>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3B17E6"/>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3B17E6"/>
    <w:pPr>
      <w:numPr>
        <w:ilvl w:val="1"/>
      </w:numPr>
    </w:pPr>
  </w:style>
  <w:style w:type="numbering" w:customStyle="1" w:styleId="ORRBoxed">
    <w:name w:val="ORRBoxed"/>
    <w:uiPriority w:val="99"/>
    <w:rsid w:val="003B17E6"/>
    <w:pPr>
      <w:numPr>
        <w:numId w:val="4"/>
      </w:numPr>
    </w:pPr>
  </w:style>
  <w:style w:type="paragraph" w:customStyle="1" w:styleId="Bulletchecklist">
    <w:name w:val="Bullet (checklist)"/>
    <w:basedOn w:val="Normal"/>
    <w:uiPriority w:val="9"/>
    <w:qFormat/>
    <w:rsid w:val="003B17E6"/>
    <w:pPr>
      <w:numPr>
        <w:numId w:val="5"/>
      </w:numPr>
    </w:pPr>
  </w:style>
  <w:style w:type="numbering" w:customStyle="1" w:styleId="ORRChecklist">
    <w:name w:val="ORRChecklist"/>
    <w:uiPriority w:val="99"/>
    <w:rsid w:val="003B17E6"/>
    <w:pPr>
      <w:numPr>
        <w:numId w:val="5"/>
      </w:numPr>
    </w:pPr>
  </w:style>
  <w:style w:type="character" w:customStyle="1" w:styleId="Heading4Char">
    <w:name w:val="Heading 4 Char"/>
    <w:aliases w:val="Heading 4 (double) Char"/>
    <w:basedOn w:val="DefaultParagraphFont"/>
    <w:link w:val="Heading4"/>
    <w:uiPriority w:val="27"/>
    <w:rsid w:val="003B17E6"/>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3B17E6"/>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3B17E6"/>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3B17E6"/>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3B17E6"/>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3B17E6"/>
    <w:rPr>
      <w:rFonts w:ascii="Arial" w:eastAsiaTheme="majorEastAsia" w:hAnsi="Arial" w:cstheme="majorBidi"/>
      <w:i/>
      <w:iCs/>
      <w:color w:val="00476B"/>
      <w:sz w:val="24"/>
      <w:szCs w:val="21"/>
    </w:rPr>
  </w:style>
  <w:style w:type="paragraph" w:styleId="Quote">
    <w:name w:val="Quote"/>
    <w:basedOn w:val="Normal"/>
    <w:link w:val="QuoteChar"/>
    <w:uiPriority w:val="17"/>
    <w:qFormat/>
    <w:rsid w:val="003B17E6"/>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3B17E6"/>
    <w:rPr>
      <w:rFonts w:ascii="Arial" w:hAnsi="Arial"/>
      <w:b/>
      <w:iCs/>
      <w:color w:val="000000" w:themeColor="text1"/>
      <w:sz w:val="32"/>
    </w:rPr>
  </w:style>
  <w:style w:type="paragraph" w:customStyle="1" w:styleId="DoNotDelete">
    <w:name w:val="DoNotDelete"/>
    <w:basedOn w:val="Normal"/>
    <w:uiPriority w:val="49"/>
    <w:semiHidden/>
    <w:qFormat/>
    <w:rsid w:val="003B17E6"/>
    <w:pPr>
      <w:spacing w:after="0" w:line="240" w:lineRule="auto"/>
    </w:pPr>
    <w:rPr>
      <w:vanish/>
      <w:color w:val="FF0000"/>
    </w:rPr>
  </w:style>
  <w:style w:type="paragraph" w:customStyle="1" w:styleId="NormalNoSpace">
    <w:name w:val="NormalNoSpace"/>
    <w:basedOn w:val="Normal"/>
    <w:next w:val="Normal"/>
    <w:uiPriority w:val="3"/>
    <w:qFormat/>
    <w:rsid w:val="003B17E6"/>
    <w:pPr>
      <w:spacing w:after="0"/>
    </w:pPr>
  </w:style>
  <w:style w:type="paragraph" w:customStyle="1" w:styleId="Heading2NoToc">
    <w:name w:val="Heading 2NoToc"/>
    <w:basedOn w:val="Heading2NoNumb"/>
    <w:next w:val="NoSpacing"/>
    <w:uiPriority w:val="19"/>
    <w:qFormat/>
    <w:rsid w:val="003B17E6"/>
  </w:style>
  <w:style w:type="paragraph" w:styleId="TOC1">
    <w:name w:val="toc 1"/>
    <w:basedOn w:val="Normal"/>
    <w:next w:val="Normal"/>
    <w:autoRedefine/>
    <w:uiPriority w:val="39"/>
    <w:rsid w:val="003B17E6"/>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3B17E6"/>
    <w:pPr>
      <w:spacing w:after="100"/>
      <w:ind w:left="425" w:right="425"/>
    </w:pPr>
  </w:style>
  <w:style w:type="paragraph" w:styleId="TOC3">
    <w:name w:val="toc 3"/>
    <w:basedOn w:val="Normal"/>
    <w:next w:val="Normal"/>
    <w:autoRedefine/>
    <w:uiPriority w:val="39"/>
    <w:semiHidden/>
    <w:rsid w:val="003B17E6"/>
    <w:pPr>
      <w:tabs>
        <w:tab w:val="right" w:leader="dot" w:pos="9628"/>
      </w:tabs>
      <w:spacing w:after="100"/>
      <w:ind w:left="567"/>
    </w:pPr>
  </w:style>
  <w:style w:type="character" w:styleId="Hyperlink">
    <w:name w:val="Hyperlink"/>
    <w:basedOn w:val="DefaultParagraphFont"/>
    <w:uiPriority w:val="99"/>
    <w:unhideWhenUsed/>
    <w:rsid w:val="003B17E6"/>
    <w:rPr>
      <w:color w:val="0563C1" w:themeColor="hyperlink"/>
      <w:u w:val="single"/>
    </w:rPr>
  </w:style>
  <w:style w:type="paragraph" w:styleId="Date">
    <w:name w:val="Date"/>
    <w:basedOn w:val="Normal"/>
    <w:next w:val="Normal"/>
    <w:link w:val="DateChar"/>
    <w:uiPriority w:val="99"/>
    <w:semiHidden/>
    <w:rsid w:val="003B17E6"/>
    <w:rPr>
      <w:b/>
      <w:color w:val="253268" w:themeColor="text2"/>
    </w:rPr>
  </w:style>
  <w:style w:type="character" w:customStyle="1" w:styleId="DateChar">
    <w:name w:val="Date Char"/>
    <w:basedOn w:val="DefaultParagraphFont"/>
    <w:link w:val="Date"/>
    <w:uiPriority w:val="99"/>
    <w:semiHidden/>
    <w:rsid w:val="003B17E6"/>
    <w:rPr>
      <w:rFonts w:ascii="Arial" w:hAnsi="Arial"/>
      <w:b/>
      <w:color w:val="253268" w:themeColor="text2"/>
      <w:sz w:val="24"/>
    </w:rPr>
  </w:style>
  <w:style w:type="paragraph" w:styleId="Subtitle">
    <w:name w:val="Subtitle"/>
    <w:basedOn w:val="Normal"/>
    <w:next w:val="Normal"/>
    <w:link w:val="SubtitleChar"/>
    <w:uiPriority w:val="39"/>
    <w:semiHidden/>
    <w:qFormat/>
    <w:rsid w:val="003B17E6"/>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3B17E6"/>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3B17E6"/>
    <w:pPr>
      <w:spacing w:after="0" w:line="240" w:lineRule="auto"/>
    </w:pPr>
  </w:style>
  <w:style w:type="character" w:customStyle="1" w:styleId="NoteHeadingChar">
    <w:name w:val="Note Heading Char"/>
    <w:basedOn w:val="DefaultParagraphFont"/>
    <w:link w:val="NoteHeading"/>
    <w:uiPriority w:val="99"/>
    <w:semiHidden/>
    <w:rsid w:val="003B17E6"/>
    <w:rPr>
      <w:rFonts w:ascii="Arial" w:hAnsi="Arial"/>
      <w:sz w:val="24"/>
    </w:rPr>
  </w:style>
  <w:style w:type="paragraph" w:styleId="BalloonText">
    <w:name w:val="Balloon Text"/>
    <w:basedOn w:val="Normal"/>
    <w:link w:val="BalloonTextChar"/>
    <w:uiPriority w:val="99"/>
    <w:semiHidden/>
    <w:unhideWhenUsed/>
    <w:rsid w:val="003B17E6"/>
    <w:pPr>
      <w:spacing w:after="0" w:line="240" w:lineRule="auto"/>
    </w:pPr>
    <w:rPr>
      <w:rFonts w:ascii="Segoe UI" w:hAnsi="Segoe UI" w:cs="Segoe UI"/>
      <w:sz w:val="18"/>
      <w:szCs w:val="18"/>
    </w:rPr>
  </w:style>
  <w:style w:type="table" w:styleId="TableGrid">
    <w:name w:val="Table Grid"/>
    <w:basedOn w:val="TableNormal"/>
    <w:uiPriority w:val="39"/>
    <w:rsid w:val="003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3B17E6"/>
    <w:pPr>
      <w:spacing w:after="120" w:line="240" w:lineRule="auto"/>
    </w:pPr>
    <w:rPr>
      <w:sz w:val="20"/>
    </w:rPr>
  </w:style>
  <w:style w:type="paragraph" w:styleId="FootnoteText">
    <w:name w:val="footnote text"/>
    <w:basedOn w:val="Normal"/>
    <w:link w:val="FootnoteTextChar"/>
    <w:uiPriority w:val="99"/>
    <w:semiHidden/>
    <w:unhideWhenUsed/>
    <w:rsid w:val="003B17E6"/>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3B17E6"/>
    <w:rPr>
      <w:rFonts w:ascii="Arial" w:hAnsi="Arial"/>
      <w:sz w:val="20"/>
      <w:szCs w:val="20"/>
    </w:rPr>
  </w:style>
  <w:style w:type="character" w:styleId="FootnoteReference">
    <w:name w:val="footnote reference"/>
    <w:basedOn w:val="DefaultParagraphFont"/>
    <w:uiPriority w:val="99"/>
    <w:semiHidden/>
    <w:unhideWhenUsed/>
    <w:rsid w:val="003B17E6"/>
    <w:rPr>
      <w:vertAlign w:val="superscript"/>
    </w:rPr>
  </w:style>
  <w:style w:type="paragraph" w:customStyle="1" w:styleId="Heading2NoNumb">
    <w:name w:val="Heading 2NoNumb"/>
    <w:basedOn w:val="Normal"/>
    <w:next w:val="Normal"/>
    <w:uiPriority w:val="3"/>
    <w:qFormat/>
    <w:rsid w:val="003B17E6"/>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3B17E6"/>
    <w:pPr>
      <w:keepNext/>
      <w:keepLines/>
      <w:numPr>
        <w:ilvl w:val="8"/>
        <w:numId w:val="6"/>
      </w:numPr>
      <w:spacing w:before="120" w:after="120" w:line="240" w:lineRule="auto"/>
    </w:pPr>
    <w:rPr>
      <w:b/>
    </w:rPr>
  </w:style>
  <w:style w:type="paragraph" w:styleId="NoSpacing">
    <w:name w:val="No Spacing"/>
    <w:uiPriority w:val="39"/>
    <w:semiHidden/>
    <w:qFormat/>
    <w:rsid w:val="003B17E6"/>
    <w:pPr>
      <w:spacing w:after="0" w:line="240" w:lineRule="auto"/>
    </w:pPr>
    <w:rPr>
      <w:rFonts w:ascii="Arial" w:hAnsi="Arial"/>
      <w:sz w:val="24"/>
    </w:rPr>
  </w:style>
  <w:style w:type="paragraph" w:customStyle="1" w:styleId="TableTitlesingle">
    <w:name w:val="TableTitle (single)"/>
    <w:basedOn w:val="Normal"/>
    <w:next w:val="Normal"/>
    <w:uiPriority w:val="17"/>
    <w:qFormat/>
    <w:rsid w:val="003B17E6"/>
    <w:pPr>
      <w:keepNext/>
      <w:keepLines/>
      <w:numPr>
        <w:ilvl w:val="7"/>
        <w:numId w:val="6"/>
      </w:numPr>
      <w:spacing w:before="120" w:after="120" w:line="240" w:lineRule="auto"/>
    </w:pPr>
    <w:rPr>
      <w:b/>
    </w:rPr>
  </w:style>
  <w:style w:type="paragraph" w:customStyle="1" w:styleId="TblHeading">
    <w:name w:val="Tbl Heading"/>
    <w:basedOn w:val="Normal"/>
    <w:uiPriority w:val="19"/>
    <w:qFormat/>
    <w:rsid w:val="003B17E6"/>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3B17E6"/>
    <w:rPr>
      <w:color w:val="auto"/>
    </w:rPr>
  </w:style>
  <w:style w:type="paragraph" w:customStyle="1" w:styleId="TblHeadingCtr">
    <w:name w:val="Tbl Heading Ctr"/>
    <w:basedOn w:val="TblHeading"/>
    <w:uiPriority w:val="19"/>
    <w:qFormat/>
    <w:rsid w:val="003B17E6"/>
    <w:pPr>
      <w:jc w:val="center"/>
    </w:pPr>
  </w:style>
  <w:style w:type="paragraph" w:customStyle="1" w:styleId="TblHeadingFin">
    <w:name w:val="Tbl Heading Fin"/>
    <w:basedOn w:val="TblHeading"/>
    <w:uiPriority w:val="19"/>
    <w:qFormat/>
    <w:rsid w:val="003B17E6"/>
    <w:pPr>
      <w:jc w:val="center"/>
    </w:pPr>
  </w:style>
  <w:style w:type="paragraph" w:customStyle="1" w:styleId="TblText">
    <w:name w:val="Tbl Text"/>
    <w:basedOn w:val="Normal"/>
    <w:uiPriority w:val="19"/>
    <w:qFormat/>
    <w:rsid w:val="003B17E6"/>
    <w:pPr>
      <w:spacing w:before="120" w:after="120" w:line="240" w:lineRule="auto"/>
      <w:ind w:left="113"/>
    </w:pPr>
    <w:rPr>
      <w:sz w:val="22"/>
    </w:rPr>
  </w:style>
  <w:style w:type="paragraph" w:customStyle="1" w:styleId="TblTextCtr">
    <w:name w:val="Tbl Text Ctr"/>
    <w:basedOn w:val="TblText"/>
    <w:uiPriority w:val="19"/>
    <w:qFormat/>
    <w:rsid w:val="003B17E6"/>
    <w:pPr>
      <w:jc w:val="center"/>
    </w:pPr>
  </w:style>
  <w:style w:type="paragraph" w:customStyle="1" w:styleId="TblTextFin">
    <w:name w:val="Tbl Text Fin"/>
    <w:basedOn w:val="TblTextCtr"/>
    <w:uiPriority w:val="19"/>
    <w:qFormat/>
    <w:rsid w:val="003B17E6"/>
    <w:pPr>
      <w:jc w:val="right"/>
    </w:pPr>
  </w:style>
  <w:style w:type="paragraph" w:customStyle="1" w:styleId="TblTextFinTotal">
    <w:name w:val="Tbl Text Fin Total"/>
    <w:basedOn w:val="TblTextFin"/>
    <w:uiPriority w:val="19"/>
    <w:qFormat/>
    <w:rsid w:val="003B17E6"/>
    <w:rPr>
      <w:b/>
    </w:rPr>
  </w:style>
  <w:style w:type="paragraph" w:customStyle="1" w:styleId="TblTextTotal">
    <w:name w:val="Tbl Text Total"/>
    <w:basedOn w:val="TblText"/>
    <w:uiPriority w:val="19"/>
    <w:qFormat/>
    <w:rsid w:val="003B17E6"/>
    <w:rPr>
      <w:b/>
    </w:rPr>
  </w:style>
  <w:style w:type="paragraph" w:customStyle="1" w:styleId="Bulletnumber">
    <w:name w:val="Bullet (number)"/>
    <w:basedOn w:val="Bulletroman"/>
    <w:uiPriority w:val="12"/>
    <w:qFormat/>
    <w:rsid w:val="003B17E6"/>
    <w:pPr>
      <w:numPr>
        <w:ilvl w:val="4"/>
      </w:numPr>
    </w:pPr>
  </w:style>
  <w:style w:type="paragraph" w:customStyle="1" w:styleId="BodyText1">
    <w:name w:val="Body Text 1"/>
    <w:basedOn w:val="Normal"/>
    <w:uiPriority w:val="9"/>
    <w:qFormat/>
    <w:rsid w:val="003B17E6"/>
    <w:pPr>
      <w:ind w:left="851"/>
    </w:pPr>
  </w:style>
  <w:style w:type="paragraph" w:customStyle="1" w:styleId="ImageMsg">
    <w:name w:val="ImageMsg"/>
    <w:basedOn w:val="Normal"/>
    <w:uiPriority w:val="49"/>
    <w:semiHidden/>
    <w:rsid w:val="003B17E6"/>
    <w:rPr>
      <w:b/>
      <w:vanish/>
    </w:rPr>
  </w:style>
  <w:style w:type="paragraph" w:customStyle="1" w:styleId="TblSource">
    <w:name w:val="Tbl Source"/>
    <w:basedOn w:val="Normal"/>
    <w:next w:val="Normal"/>
    <w:uiPriority w:val="20"/>
    <w:qFormat/>
    <w:rsid w:val="003B17E6"/>
    <w:rPr>
      <w:i/>
      <w:sz w:val="22"/>
    </w:rPr>
  </w:style>
  <w:style w:type="paragraph" w:customStyle="1" w:styleId="Date2">
    <w:name w:val="Date2"/>
    <w:basedOn w:val="Normal"/>
    <w:next w:val="Normal"/>
    <w:uiPriority w:val="29"/>
    <w:semiHidden/>
    <w:qFormat/>
    <w:rsid w:val="003B17E6"/>
    <w:rPr>
      <w:color w:val="FFFFFF"/>
      <w:sz w:val="23"/>
    </w:rPr>
  </w:style>
  <w:style w:type="paragraph" w:customStyle="1" w:styleId="FooterHalf">
    <w:name w:val="FooterHalf"/>
    <w:basedOn w:val="Footer"/>
    <w:uiPriority w:val="49"/>
    <w:semiHidden/>
    <w:qFormat/>
    <w:rsid w:val="003B17E6"/>
    <w:rPr>
      <w:sz w:val="10"/>
    </w:rPr>
  </w:style>
  <w:style w:type="paragraph" w:customStyle="1" w:styleId="FooterTop">
    <w:name w:val="FooterTop"/>
    <w:basedOn w:val="Footer"/>
    <w:uiPriority w:val="49"/>
    <w:semiHidden/>
    <w:qFormat/>
    <w:rsid w:val="003B17E6"/>
    <w:pPr>
      <w:tabs>
        <w:tab w:val="clear" w:pos="9639"/>
        <w:tab w:val="right" w:pos="340"/>
      </w:tabs>
      <w:spacing w:after="120"/>
    </w:pPr>
  </w:style>
  <w:style w:type="paragraph" w:customStyle="1" w:styleId="SingleNum">
    <w:name w:val="SingleNum"/>
    <w:basedOn w:val="Normal"/>
    <w:uiPriority w:val="3"/>
    <w:qFormat/>
    <w:rsid w:val="003B17E6"/>
    <w:pPr>
      <w:numPr>
        <w:numId w:val="21"/>
      </w:numPr>
    </w:pPr>
  </w:style>
  <w:style w:type="paragraph" w:customStyle="1" w:styleId="Summarybullet-">
    <w:name w:val="Summary bullet (-)"/>
    <w:basedOn w:val="Summaryparagraph"/>
    <w:uiPriority w:val="1"/>
    <w:qFormat/>
    <w:rsid w:val="003B17E6"/>
    <w:pPr>
      <w:numPr>
        <w:ilvl w:val="2"/>
      </w:numPr>
    </w:pPr>
  </w:style>
  <w:style w:type="paragraph" w:customStyle="1" w:styleId="Boxedbullet-">
    <w:name w:val="Boxed bullet (-)"/>
    <w:basedOn w:val="Boxedparagraph"/>
    <w:uiPriority w:val="14"/>
    <w:qFormat/>
    <w:rsid w:val="003B17E6"/>
    <w:pPr>
      <w:numPr>
        <w:ilvl w:val="2"/>
      </w:numPr>
    </w:pPr>
  </w:style>
  <w:style w:type="numbering" w:customStyle="1" w:styleId="ORRMain">
    <w:name w:val="ORRMain"/>
    <w:uiPriority w:val="99"/>
    <w:rsid w:val="003B17E6"/>
    <w:pPr>
      <w:numPr>
        <w:numId w:val="6"/>
      </w:numPr>
    </w:pPr>
  </w:style>
  <w:style w:type="paragraph" w:customStyle="1" w:styleId="NormalWhite">
    <w:name w:val="NormalWhite"/>
    <w:basedOn w:val="Normal"/>
    <w:uiPriority w:val="49"/>
    <w:semiHidden/>
    <w:qFormat/>
    <w:rsid w:val="003B17E6"/>
    <w:pPr>
      <w:spacing w:after="0" w:line="240" w:lineRule="auto"/>
    </w:pPr>
    <w:rPr>
      <w:color w:val="FFFFFF" w:themeColor="background2"/>
    </w:rPr>
  </w:style>
  <w:style w:type="paragraph" w:customStyle="1" w:styleId="DocLogo">
    <w:name w:val="DocLogo"/>
    <w:basedOn w:val="Normal"/>
    <w:uiPriority w:val="49"/>
    <w:semiHidden/>
    <w:qFormat/>
    <w:rsid w:val="003B17E6"/>
    <w:pPr>
      <w:spacing w:after="2000"/>
    </w:pPr>
  </w:style>
  <w:style w:type="character" w:customStyle="1" w:styleId="BalloonTextChar">
    <w:name w:val="Balloon Text Char"/>
    <w:basedOn w:val="DefaultParagraphFont"/>
    <w:link w:val="BalloonText"/>
    <w:uiPriority w:val="99"/>
    <w:semiHidden/>
    <w:rsid w:val="003B17E6"/>
    <w:rPr>
      <w:rFonts w:ascii="Segoe UI" w:hAnsi="Segoe UI" w:cs="Segoe UI"/>
      <w:sz w:val="18"/>
      <w:szCs w:val="18"/>
    </w:rPr>
  </w:style>
  <w:style w:type="paragraph" w:styleId="ListParagraph">
    <w:name w:val="List Paragraph"/>
    <w:basedOn w:val="Normal"/>
    <w:uiPriority w:val="39"/>
    <w:qFormat/>
    <w:rsid w:val="003B17E6"/>
    <w:pPr>
      <w:ind w:left="720"/>
      <w:contextualSpacing/>
    </w:pPr>
  </w:style>
  <w:style w:type="paragraph" w:customStyle="1" w:styleId="HighlightPurple">
    <w:name w:val="HighlightPurple"/>
    <w:basedOn w:val="Normal"/>
    <w:uiPriority w:val="17"/>
    <w:qFormat/>
    <w:rsid w:val="003B17E6"/>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3B17E6"/>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3B17E6"/>
    <w:rPr>
      <w:sz w:val="16"/>
      <w:szCs w:val="16"/>
    </w:rPr>
  </w:style>
  <w:style w:type="paragraph" w:styleId="CommentText">
    <w:name w:val="annotation text"/>
    <w:basedOn w:val="Normal"/>
    <w:link w:val="CommentTextChar"/>
    <w:uiPriority w:val="99"/>
    <w:unhideWhenUsed/>
    <w:rsid w:val="003B17E6"/>
    <w:pPr>
      <w:spacing w:line="240" w:lineRule="auto"/>
    </w:pPr>
  </w:style>
  <w:style w:type="character" w:customStyle="1" w:styleId="CommentTextChar">
    <w:name w:val="Comment Text Char"/>
    <w:basedOn w:val="DefaultParagraphFont"/>
    <w:link w:val="CommentText"/>
    <w:uiPriority w:val="99"/>
    <w:rsid w:val="003B17E6"/>
    <w:rPr>
      <w:rFonts w:ascii="Arial" w:hAnsi="Arial"/>
      <w:sz w:val="24"/>
    </w:rPr>
  </w:style>
  <w:style w:type="paragraph" w:styleId="CommentSubject">
    <w:name w:val="annotation subject"/>
    <w:basedOn w:val="CommentText"/>
    <w:next w:val="CommentText"/>
    <w:link w:val="CommentSubjectChar"/>
    <w:uiPriority w:val="99"/>
    <w:semiHidden/>
    <w:unhideWhenUsed/>
    <w:rsid w:val="003B17E6"/>
    <w:rPr>
      <w:b/>
      <w:bCs/>
    </w:rPr>
  </w:style>
  <w:style w:type="character" w:customStyle="1" w:styleId="CommentSubjectChar">
    <w:name w:val="Comment Subject Char"/>
    <w:basedOn w:val="CommentTextChar"/>
    <w:link w:val="CommentSubject"/>
    <w:uiPriority w:val="99"/>
    <w:semiHidden/>
    <w:rsid w:val="003B17E6"/>
    <w:rPr>
      <w:rFonts w:ascii="Arial" w:hAnsi="Arial"/>
      <w:b/>
      <w:bCs/>
      <w:sz w:val="24"/>
    </w:rPr>
  </w:style>
  <w:style w:type="character" w:customStyle="1" w:styleId="UnresolvedMention1">
    <w:name w:val="Unresolved Mention1"/>
    <w:basedOn w:val="DefaultParagraphFont"/>
    <w:uiPriority w:val="99"/>
    <w:semiHidden/>
    <w:unhideWhenUsed/>
    <w:rsid w:val="003B17E6"/>
    <w:rPr>
      <w:color w:val="605E5C"/>
      <w:shd w:val="clear" w:color="auto" w:fill="E1DFDD"/>
    </w:rPr>
  </w:style>
  <w:style w:type="paragraph" w:customStyle="1" w:styleId="KeyMessage">
    <w:name w:val="KeyMessage"/>
    <w:basedOn w:val="Normal"/>
    <w:next w:val="Numberedparagraphdouble"/>
    <w:uiPriority w:val="2"/>
    <w:qFormat/>
    <w:rsid w:val="003B17E6"/>
    <w:rPr>
      <w:b/>
      <w:color w:val="514F86"/>
      <w:sz w:val="26"/>
    </w:rPr>
  </w:style>
  <w:style w:type="paragraph" w:customStyle="1" w:styleId="RagLetter">
    <w:name w:val="RagLetter"/>
    <w:basedOn w:val="Normal"/>
    <w:uiPriority w:val="49"/>
    <w:semiHidden/>
    <w:qFormat/>
    <w:rsid w:val="003B17E6"/>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3B17E6"/>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3B17E6"/>
    <w:pPr>
      <w:spacing w:before="0"/>
    </w:pPr>
  </w:style>
  <w:style w:type="character" w:customStyle="1" w:styleId="chrRagIcon">
    <w:name w:val="chrRagIcon"/>
    <w:basedOn w:val="DefaultParagraphFont"/>
    <w:uiPriority w:val="49"/>
    <w:semiHidden/>
    <w:qFormat/>
    <w:rsid w:val="003B17E6"/>
    <w:rPr>
      <w:position w:val="-4"/>
    </w:rPr>
  </w:style>
  <w:style w:type="character" w:customStyle="1" w:styleId="chrSubTitle">
    <w:name w:val="chrSubTitle"/>
    <w:basedOn w:val="DefaultParagraphFont"/>
    <w:uiPriority w:val="1"/>
    <w:qFormat/>
    <w:rsid w:val="003B17E6"/>
    <w:rPr>
      <w:rFonts w:ascii="Arial" w:hAnsi="Arial"/>
      <w:bCs/>
      <w:sz w:val="40"/>
    </w:rPr>
  </w:style>
  <w:style w:type="paragraph" w:customStyle="1" w:styleId="HighlightLilac">
    <w:name w:val="HighlightLilac"/>
    <w:basedOn w:val="Normal"/>
    <w:uiPriority w:val="17"/>
    <w:qFormat/>
    <w:rsid w:val="003B17E6"/>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3B17E6"/>
    <w:pPr>
      <w:numPr>
        <w:numId w:val="8"/>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3B17E6"/>
    <w:pPr>
      <w:numPr>
        <w:numId w:val="7"/>
      </w:numPr>
    </w:pPr>
  </w:style>
  <w:style w:type="paragraph" w:customStyle="1" w:styleId="HighlightPurpleWide">
    <w:name w:val="HighlightPurpleWide"/>
    <w:basedOn w:val="Normal"/>
    <w:uiPriority w:val="17"/>
    <w:qFormat/>
    <w:rsid w:val="003B17E6"/>
    <w:pPr>
      <w:numPr>
        <w:ilvl w:val="1"/>
        <w:numId w:val="8"/>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3B17E6"/>
    <w:pPr>
      <w:numPr>
        <w:ilvl w:val="2"/>
        <w:numId w:val="8"/>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3B17E6"/>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3B17E6"/>
    <w:rPr>
      <w:color w:val="FFFFFF" w:themeColor="background1"/>
    </w:rPr>
  </w:style>
  <w:style w:type="paragraph" w:customStyle="1" w:styleId="HeaderTitle">
    <w:name w:val="HeaderTitle"/>
    <w:basedOn w:val="Header"/>
    <w:uiPriority w:val="3"/>
    <w:qFormat/>
    <w:rsid w:val="003B17E6"/>
    <w:pPr>
      <w:spacing w:after="360"/>
    </w:pPr>
    <w:rPr>
      <w:b/>
      <w:color w:val="253268" w:themeColor="text2"/>
    </w:rPr>
  </w:style>
  <w:style w:type="paragraph" w:customStyle="1" w:styleId="TblHeadingKeyPerformance">
    <w:name w:val="TblHeadingKeyPerformance"/>
    <w:basedOn w:val="TblHeading"/>
    <w:uiPriority w:val="49"/>
    <w:semiHidden/>
    <w:qFormat/>
    <w:rsid w:val="003B17E6"/>
    <w:pPr>
      <w:keepNext/>
      <w:keepLines/>
      <w:spacing w:before="160" w:after="160"/>
      <w:jc w:val="center"/>
    </w:pPr>
  </w:style>
  <w:style w:type="paragraph" w:customStyle="1" w:styleId="DividerTitle">
    <w:name w:val="Divider Title"/>
    <w:basedOn w:val="Normal"/>
    <w:uiPriority w:val="39"/>
    <w:qFormat/>
    <w:rsid w:val="003B17E6"/>
    <w:pPr>
      <w:keepNext/>
      <w:keepLines/>
      <w:spacing w:before="720"/>
    </w:pPr>
    <w:rPr>
      <w:b/>
      <w:color w:val="253268" w:themeColor="text2"/>
      <w:sz w:val="60"/>
    </w:rPr>
  </w:style>
  <w:style w:type="paragraph" w:customStyle="1" w:styleId="DividerTitleSpace">
    <w:name w:val="Divider TitleSpace"/>
    <w:basedOn w:val="DividerTitle"/>
    <w:uiPriority w:val="39"/>
    <w:qFormat/>
    <w:rsid w:val="003B17E6"/>
    <w:pPr>
      <w:pageBreakBefore/>
      <w:spacing w:before="0"/>
    </w:pPr>
  </w:style>
  <w:style w:type="paragraph" w:customStyle="1" w:styleId="DividerSubTitle">
    <w:name w:val="Divider SubTitle"/>
    <w:basedOn w:val="DividerTitle"/>
    <w:next w:val="Numberedparagraphdouble"/>
    <w:uiPriority w:val="39"/>
    <w:qFormat/>
    <w:rsid w:val="003B17E6"/>
    <w:pPr>
      <w:spacing w:before="240" w:after="10000"/>
    </w:pPr>
    <w:rPr>
      <w:sz w:val="48"/>
    </w:rPr>
  </w:style>
  <w:style w:type="paragraph" w:styleId="TOC4">
    <w:name w:val="toc 4"/>
    <w:basedOn w:val="Normal"/>
    <w:next w:val="Normal"/>
    <w:autoRedefine/>
    <w:uiPriority w:val="39"/>
    <w:rsid w:val="003B17E6"/>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3B17E6"/>
    <w:pPr>
      <w:spacing w:before="720"/>
    </w:pPr>
  </w:style>
  <w:style w:type="paragraph" w:styleId="Bibliography">
    <w:name w:val="Bibliography"/>
    <w:basedOn w:val="Normal"/>
    <w:next w:val="Normal"/>
    <w:uiPriority w:val="37"/>
    <w:unhideWhenUsed/>
    <w:rsid w:val="003B17E6"/>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3B17E6"/>
    <w:pPr>
      <w:numPr>
        <w:numId w:val="9"/>
      </w:numPr>
      <w:ind w:left="0" w:firstLine="0"/>
    </w:pPr>
  </w:style>
  <w:style w:type="paragraph" w:customStyle="1" w:styleId="AnnexParagraph">
    <w:name w:val="Annex Paragraph"/>
    <w:basedOn w:val="Normal"/>
    <w:uiPriority w:val="22"/>
    <w:qFormat/>
    <w:rsid w:val="003B17E6"/>
    <w:pPr>
      <w:numPr>
        <w:ilvl w:val="1"/>
        <w:numId w:val="9"/>
      </w:numPr>
    </w:pPr>
  </w:style>
  <w:style w:type="numbering" w:customStyle="1" w:styleId="ORRAnnex">
    <w:name w:val="ORRAnnex"/>
    <w:uiPriority w:val="99"/>
    <w:rsid w:val="003B17E6"/>
    <w:pPr>
      <w:numPr>
        <w:numId w:val="9"/>
      </w:numPr>
    </w:pPr>
  </w:style>
  <w:style w:type="paragraph" w:customStyle="1" w:styleId="AnnexBulletAlpha">
    <w:name w:val="Annex Bullet (Alpha)"/>
    <w:basedOn w:val="Normal"/>
    <w:uiPriority w:val="24"/>
    <w:qFormat/>
    <w:rsid w:val="003B17E6"/>
    <w:pPr>
      <w:numPr>
        <w:ilvl w:val="2"/>
        <w:numId w:val="9"/>
      </w:numPr>
    </w:pPr>
  </w:style>
  <w:style w:type="paragraph" w:customStyle="1" w:styleId="AnnexBulletroman">
    <w:name w:val="Annex Bullet (roman)"/>
    <w:basedOn w:val="Normal"/>
    <w:uiPriority w:val="24"/>
    <w:qFormat/>
    <w:rsid w:val="003B17E6"/>
    <w:pPr>
      <w:numPr>
        <w:ilvl w:val="3"/>
        <w:numId w:val="9"/>
      </w:numPr>
    </w:pPr>
  </w:style>
  <w:style w:type="paragraph" w:customStyle="1" w:styleId="AnnexBulletnumber">
    <w:name w:val="Annex Bullet (number)"/>
    <w:basedOn w:val="Normal"/>
    <w:uiPriority w:val="25"/>
    <w:qFormat/>
    <w:rsid w:val="003B17E6"/>
    <w:pPr>
      <w:numPr>
        <w:ilvl w:val="4"/>
        <w:numId w:val="9"/>
      </w:numPr>
    </w:pPr>
  </w:style>
  <w:style w:type="paragraph" w:customStyle="1" w:styleId="AnnexBulletround">
    <w:name w:val="Annex Bullet (round)"/>
    <w:basedOn w:val="Normal"/>
    <w:uiPriority w:val="23"/>
    <w:qFormat/>
    <w:rsid w:val="003B17E6"/>
    <w:pPr>
      <w:numPr>
        <w:ilvl w:val="5"/>
        <w:numId w:val="9"/>
      </w:numPr>
    </w:pPr>
  </w:style>
  <w:style w:type="paragraph" w:customStyle="1" w:styleId="AnnexBullet-">
    <w:name w:val="Annex Bullet (-)"/>
    <w:basedOn w:val="Normal"/>
    <w:uiPriority w:val="24"/>
    <w:qFormat/>
    <w:rsid w:val="003B17E6"/>
    <w:pPr>
      <w:numPr>
        <w:ilvl w:val="6"/>
        <w:numId w:val="9"/>
      </w:numPr>
    </w:pPr>
  </w:style>
  <w:style w:type="paragraph" w:customStyle="1" w:styleId="AnnexTableTitle">
    <w:name w:val="Annex TableTitle"/>
    <w:basedOn w:val="Normal"/>
    <w:next w:val="AnnexParagraph"/>
    <w:uiPriority w:val="18"/>
    <w:qFormat/>
    <w:rsid w:val="003B17E6"/>
    <w:pPr>
      <w:numPr>
        <w:ilvl w:val="7"/>
        <w:numId w:val="9"/>
      </w:numPr>
      <w:spacing w:before="120" w:after="120"/>
    </w:pPr>
    <w:rPr>
      <w:b/>
    </w:rPr>
  </w:style>
  <w:style w:type="paragraph" w:customStyle="1" w:styleId="AnnexH3">
    <w:name w:val="Annex H3"/>
    <w:basedOn w:val="Heading3"/>
    <w:next w:val="AnnexParagraph"/>
    <w:uiPriority w:val="21"/>
    <w:qFormat/>
    <w:rsid w:val="003B17E6"/>
  </w:style>
  <w:style w:type="paragraph" w:customStyle="1" w:styleId="NormalTableTitle">
    <w:name w:val="Normal TableTitle"/>
    <w:basedOn w:val="Normal"/>
    <w:next w:val="Normal"/>
    <w:uiPriority w:val="17"/>
    <w:qFormat/>
    <w:rsid w:val="003B17E6"/>
    <w:pPr>
      <w:keepNext/>
      <w:keepLines/>
      <w:numPr>
        <w:ilvl w:val="6"/>
        <w:numId w:val="21"/>
      </w:numPr>
    </w:pPr>
    <w:rPr>
      <w:b/>
    </w:rPr>
  </w:style>
  <w:style w:type="paragraph" w:customStyle="1" w:styleId="NormalFigureTitle">
    <w:name w:val="Normal FigureTitle"/>
    <w:basedOn w:val="Normal"/>
    <w:next w:val="Normal"/>
    <w:uiPriority w:val="26"/>
    <w:qFormat/>
    <w:rsid w:val="003B17E6"/>
    <w:pPr>
      <w:keepNext/>
      <w:keepLines/>
      <w:numPr>
        <w:ilvl w:val="7"/>
        <w:numId w:val="21"/>
      </w:numPr>
    </w:pPr>
    <w:rPr>
      <w:b/>
    </w:rPr>
  </w:style>
  <w:style w:type="paragraph" w:customStyle="1" w:styleId="AnnexFigureTitle">
    <w:name w:val="Annex FigureTitle"/>
    <w:basedOn w:val="Normal"/>
    <w:next w:val="Normal"/>
    <w:uiPriority w:val="26"/>
    <w:rsid w:val="003B17E6"/>
    <w:pPr>
      <w:keepNext/>
      <w:keepLines/>
      <w:numPr>
        <w:ilvl w:val="8"/>
        <w:numId w:val="9"/>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5"/>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5"/>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5"/>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TOC5">
    <w:name w:val="toc 5"/>
    <w:basedOn w:val="TOC1"/>
    <w:next w:val="Normal"/>
    <w:uiPriority w:val="39"/>
    <w:semiHidden/>
    <w:rsid w:val="003B17E6"/>
    <w:pPr>
      <w:tabs>
        <w:tab w:val="left" w:pos="1440"/>
      </w:tabs>
      <w:spacing w:after="100"/>
      <w:ind w:left="0" w:firstLine="0"/>
    </w:pPr>
  </w:style>
  <w:style w:type="numbering" w:customStyle="1" w:styleId="ORRCaseStudyLilacNumList">
    <w:name w:val="ORRCaseStudyLilacNumList"/>
    <w:uiPriority w:val="99"/>
    <w:rsid w:val="003B17E6"/>
    <w:pPr>
      <w:numPr>
        <w:numId w:val="20"/>
      </w:numPr>
    </w:pPr>
  </w:style>
  <w:style w:type="paragraph" w:customStyle="1" w:styleId="CaseStudyLilacheading">
    <w:name w:val="CaseStudyLilac heading"/>
    <w:basedOn w:val="HighlightLilac"/>
    <w:next w:val="CaseStudyLilacparagraph"/>
    <w:uiPriority w:val="15"/>
    <w:qFormat/>
    <w:rsid w:val="003B17E6"/>
    <w:pPr>
      <w:outlineLvl w:val="2"/>
    </w:pPr>
    <w:rPr>
      <w:b/>
      <w:sz w:val="28"/>
    </w:rPr>
  </w:style>
  <w:style w:type="paragraph" w:customStyle="1" w:styleId="CaseStudyLilacparagraph">
    <w:name w:val="CaseStudyLilac paragraph"/>
    <w:basedOn w:val="HighlightLilac"/>
    <w:uiPriority w:val="15"/>
    <w:qFormat/>
    <w:rsid w:val="003B17E6"/>
    <w:pPr>
      <w:numPr>
        <w:numId w:val="20"/>
      </w:numPr>
    </w:pPr>
  </w:style>
  <w:style w:type="paragraph" w:customStyle="1" w:styleId="CaseStudyLilacbullet">
    <w:name w:val="CaseStudyLilac bullet"/>
    <w:basedOn w:val="CaseStudyLilacparagraph"/>
    <w:uiPriority w:val="16"/>
    <w:qFormat/>
    <w:rsid w:val="003B17E6"/>
    <w:pPr>
      <w:numPr>
        <w:ilvl w:val="1"/>
      </w:numPr>
    </w:pPr>
  </w:style>
  <w:style w:type="paragraph" w:customStyle="1" w:styleId="CaseStudyLilacbullet-">
    <w:name w:val="CaseStudyLilac bullet (-)"/>
    <w:basedOn w:val="CaseStudyLilacbullet"/>
    <w:uiPriority w:val="16"/>
    <w:qFormat/>
    <w:rsid w:val="003B17E6"/>
    <w:pPr>
      <w:numPr>
        <w:ilvl w:val="2"/>
      </w:numPr>
    </w:pPr>
  </w:style>
  <w:style w:type="paragraph" w:customStyle="1" w:styleId="CaseStudyLilacbulletalpha">
    <w:name w:val="CaseStudyLilac bullet (alpha)"/>
    <w:basedOn w:val="CaseStudyLilacbullet-"/>
    <w:uiPriority w:val="16"/>
    <w:qFormat/>
    <w:rsid w:val="003B17E6"/>
    <w:pPr>
      <w:numPr>
        <w:ilvl w:val="3"/>
      </w:numPr>
    </w:pPr>
  </w:style>
  <w:style w:type="paragraph" w:customStyle="1" w:styleId="CaseStudyLilacbulletroman">
    <w:name w:val="CaseStudyLilac bullet (roman)"/>
    <w:basedOn w:val="CaseStudyLilacbulletalpha"/>
    <w:uiPriority w:val="16"/>
    <w:qFormat/>
    <w:rsid w:val="003B17E6"/>
    <w:pPr>
      <w:numPr>
        <w:ilvl w:val="4"/>
      </w:numPr>
    </w:pPr>
  </w:style>
  <w:style w:type="paragraph" w:customStyle="1" w:styleId="CaseStudyLilacbulletnumber">
    <w:name w:val="CaseStudyLilac bullet (number)"/>
    <w:basedOn w:val="CaseStudyLilacbulletroman"/>
    <w:uiPriority w:val="17"/>
    <w:qFormat/>
    <w:rsid w:val="003B17E6"/>
    <w:pPr>
      <w:numPr>
        <w:ilvl w:val="5"/>
      </w:numPr>
    </w:pPr>
  </w:style>
  <w:style w:type="paragraph" w:customStyle="1" w:styleId="Boxedbulletalpha">
    <w:name w:val="Boxed bullet (alpha)"/>
    <w:basedOn w:val="Bulletalpha"/>
    <w:uiPriority w:val="14"/>
    <w:qFormat/>
    <w:rsid w:val="003B17E6"/>
    <w:pPr>
      <w:numPr>
        <w:ilvl w:val="3"/>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3B17E6"/>
    <w:pPr>
      <w:numPr>
        <w:ilvl w:val="4"/>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3B17E6"/>
    <w:pPr>
      <w:numPr>
        <w:ilvl w:val="5"/>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3B17E6"/>
    <w:pPr>
      <w:numPr>
        <w:ilvl w:val="3"/>
        <w:numId w:val="22"/>
      </w:numPr>
      <w:pBdr>
        <w:bottom w:val="single" w:sz="24" w:space="4" w:color="ECC8ED" w:themeColor="accent3" w:themeTint="33"/>
      </w:pBdr>
    </w:pPr>
  </w:style>
  <w:style w:type="paragraph" w:customStyle="1" w:styleId="Summarybulletroman">
    <w:name w:val="Summary bullet (roman)"/>
    <w:basedOn w:val="Bulletroman"/>
    <w:uiPriority w:val="3"/>
    <w:qFormat/>
    <w:rsid w:val="003B17E6"/>
    <w:pPr>
      <w:numPr>
        <w:ilvl w:val="4"/>
        <w:numId w:val="22"/>
      </w:numPr>
      <w:pBdr>
        <w:bottom w:val="single" w:sz="24" w:space="4" w:color="ECC8ED" w:themeColor="accent3" w:themeTint="33"/>
      </w:pBdr>
    </w:pPr>
  </w:style>
  <w:style w:type="paragraph" w:customStyle="1" w:styleId="Summarybulletnumber">
    <w:name w:val="Summary bullet (number)"/>
    <w:basedOn w:val="Bulletnumber"/>
    <w:uiPriority w:val="3"/>
    <w:qFormat/>
    <w:rsid w:val="003B17E6"/>
    <w:pPr>
      <w:numPr>
        <w:ilvl w:val="5"/>
        <w:numId w:val="22"/>
      </w:numPr>
      <w:pBdr>
        <w:bottom w:val="single" w:sz="24" w:space="4" w:color="ECC8ED" w:themeColor="accent3" w:themeTint="33"/>
      </w:pBdr>
    </w:pPr>
  </w:style>
  <w:style w:type="character" w:styleId="Mention">
    <w:name w:val="Mention"/>
    <w:basedOn w:val="DefaultParagraphFont"/>
    <w:uiPriority w:val="99"/>
    <w:unhideWhenUsed/>
    <w:rsid w:val="009671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53492">
      <w:bodyDiv w:val="1"/>
      <w:marLeft w:val="0"/>
      <w:marRight w:val="0"/>
      <w:marTop w:val="0"/>
      <w:marBottom w:val="0"/>
      <w:divBdr>
        <w:top w:val="none" w:sz="0" w:space="0" w:color="auto"/>
        <w:left w:val="none" w:sz="0" w:space="0" w:color="auto"/>
        <w:bottom w:val="none" w:sz="0" w:space="0" w:color="auto"/>
        <w:right w:val="none" w:sz="0" w:space="0" w:color="auto"/>
      </w:divBdr>
    </w:div>
    <w:div w:id="488402530">
      <w:bodyDiv w:val="1"/>
      <w:marLeft w:val="0"/>
      <w:marRight w:val="0"/>
      <w:marTop w:val="0"/>
      <w:marBottom w:val="0"/>
      <w:divBdr>
        <w:top w:val="none" w:sz="0" w:space="0" w:color="auto"/>
        <w:left w:val="none" w:sz="0" w:space="0" w:color="auto"/>
        <w:bottom w:val="none" w:sz="0" w:space="0" w:color="auto"/>
        <w:right w:val="none" w:sz="0" w:space="0" w:color="auto"/>
      </w:divBdr>
    </w:div>
    <w:div w:id="852110522">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55364369">
      <w:bodyDiv w:val="1"/>
      <w:marLeft w:val="0"/>
      <w:marRight w:val="0"/>
      <w:marTop w:val="0"/>
      <w:marBottom w:val="0"/>
      <w:divBdr>
        <w:top w:val="none" w:sz="0" w:space="0" w:color="auto"/>
        <w:left w:val="none" w:sz="0" w:space="0" w:color="auto"/>
        <w:bottom w:val="none" w:sz="0" w:space="0" w:color="auto"/>
        <w:right w:val="none" w:sz="0" w:space="0" w:color="auto"/>
      </w:divBdr>
    </w:div>
    <w:div w:id="1339042586">
      <w:bodyDiv w:val="1"/>
      <w:marLeft w:val="0"/>
      <w:marRight w:val="0"/>
      <w:marTop w:val="0"/>
      <w:marBottom w:val="0"/>
      <w:divBdr>
        <w:top w:val="none" w:sz="0" w:space="0" w:color="auto"/>
        <w:left w:val="none" w:sz="0" w:space="0" w:color="auto"/>
        <w:bottom w:val="none" w:sz="0" w:space="0" w:color="auto"/>
        <w:right w:val="none" w:sz="0" w:space="0" w:color="auto"/>
      </w:divBdr>
    </w:div>
    <w:div w:id="20857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orr.gov.uk/monitoring-regulation/rail/networks/network-rail/monitoring-performance/benchmarking-network-rails-costs" TargetMode="External"/><Relationship Id="rId39" Type="http://schemas.openxmlformats.org/officeDocument/2006/relationships/header" Target="header10.xml"/><Relationship Id="rId21" Type="http://schemas.openxmlformats.org/officeDocument/2006/relationships/footer" Target="footer4.xml"/><Relationship Id="rId34" Type="http://schemas.openxmlformats.org/officeDocument/2006/relationships/image" Target="media/image4.png"/><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orr.gov.uk/sites/default/files/om/pr13-efficiency-benchmarking-of-nr.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hyperlink" Target="http:\\www.orr.gov.uk/contact-us" TargetMode="External"/><Relationship Id="rId40" Type="http://schemas.openxmlformats.org/officeDocument/2006/relationships/footer" Target="footer7.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orr.gov.uk/monitoring-regulation/rail/networks/network-rail/monitoring-performance/independent-reporters" TargetMode="External"/><Relationship Id="rId36" Type="http://schemas.openxmlformats.org/officeDocument/2006/relationships/hyperlink" Target="http:\\www.orr.gov.uk"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orr.gov.uk/media/2363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orr.gov.uk/monitoring-regulation/rail/networks/network-rail/monitoring-performance/targeted-assurance-review-reports" TargetMode="External"/><Relationship Id="rId30" Type="http://schemas.openxmlformats.org/officeDocument/2006/relationships/hyperlink" Target="https://www.networkrail.co.uk/who-we-are/publications-and-resources/financial/" TargetMode="External"/><Relationship Id="rId35" Type="http://schemas.openxmlformats.org/officeDocument/2006/relationships/hyperlink" Target="http:\\www.nationalarchives.gov.uk/doc/open-government-licence/version/3" TargetMode="External"/><Relationship Id="rId43" Type="http://schemas.openxmlformats.org/officeDocument/2006/relationships/footer" Target="footer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 TargetMode="External"/><Relationship Id="rId33" Type="http://schemas.openxmlformats.org/officeDocument/2006/relationships/header" Target="header8.xml"/><Relationship Id="rId38" Type="http://schemas.openxmlformats.org/officeDocument/2006/relationships/header" Target="header9.xml"/><Relationship Id="rId46" Type="http://schemas.openxmlformats.org/officeDocument/2006/relationships/glossaryDocument" Target="glossary/document.xml"/><Relationship Id="rId20" Type="http://schemas.openxmlformats.org/officeDocument/2006/relationships/header" Target="header5.xml"/><Relationship Id="rId41"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0536B80014D9AA739C5DFB06BBCC6"/>
        <w:category>
          <w:name w:val="General"/>
          <w:gallery w:val="placeholder"/>
        </w:category>
        <w:types>
          <w:type w:val="bbPlcHdr"/>
        </w:types>
        <w:behaviors>
          <w:behavior w:val="content"/>
        </w:behaviors>
        <w:guid w:val="{67853094-CCCF-41D8-A2CE-2C32DECC096B}"/>
      </w:docPartPr>
      <w:docPartBody>
        <w:p w:rsidR="00BD6D7D" w:rsidRDefault="00BD6D7D" w:rsidP="00BD6D7D">
          <w:pPr>
            <w:pStyle w:val="12C0536B80014D9AA739C5DFB06BBCC6"/>
          </w:pPr>
          <w:r w:rsidRPr="00F84A8A">
            <w:rPr>
              <w:rStyle w:val="PlaceholderText"/>
            </w:rPr>
            <w:t>[Title]</w:t>
          </w:r>
        </w:p>
      </w:docPartBody>
    </w:docPart>
    <w:docPart>
      <w:docPartPr>
        <w:name w:val="54FF68D7F353442DA8842188DA8B9754"/>
        <w:category>
          <w:name w:val="General"/>
          <w:gallery w:val="placeholder"/>
        </w:category>
        <w:types>
          <w:type w:val="bbPlcHdr"/>
        </w:types>
        <w:behaviors>
          <w:behavior w:val="content"/>
        </w:behaviors>
        <w:guid w:val="{024AC63A-7848-405E-A847-6CDD5242B509}"/>
      </w:docPartPr>
      <w:docPartBody>
        <w:p w:rsidR="00BD6D7D" w:rsidRDefault="00BD6D7D" w:rsidP="00BD6D7D">
          <w:pPr>
            <w:pStyle w:val="54FF68D7F353442DA8842188DA8B9754"/>
          </w:pPr>
          <w:r w:rsidRPr="00F84A8A">
            <w:rPr>
              <w:rStyle w:val="PlaceholderText"/>
            </w:rPr>
            <w:t>[Subject]</w:t>
          </w:r>
        </w:p>
      </w:docPartBody>
    </w:docPart>
    <w:docPart>
      <w:docPartPr>
        <w:name w:val="2B0308448A4E4D6DA3EB415A9C6269B1"/>
        <w:category>
          <w:name w:val="General"/>
          <w:gallery w:val="placeholder"/>
        </w:category>
        <w:types>
          <w:type w:val="bbPlcHdr"/>
        </w:types>
        <w:behaviors>
          <w:behavior w:val="content"/>
        </w:behaviors>
        <w:guid w:val="{90F78BFD-24EF-4D0D-9CEE-C9EC4F9B261C}"/>
      </w:docPartPr>
      <w:docPartBody>
        <w:p w:rsidR="006B4949" w:rsidRDefault="00BD6D7D">
          <w:pPr>
            <w:pStyle w:val="2B0308448A4E4D6DA3EB415A9C6269B1"/>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2541B"/>
    <w:rsid w:val="000A48DD"/>
    <w:rsid w:val="000B1984"/>
    <w:rsid w:val="000B1AC2"/>
    <w:rsid w:val="00157E4C"/>
    <w:rsid w:val="001D34EA"/>
    <w:rsid w:val="001F2F5C"/>
    <w:rsid w:val="002532A6"/>
    <w:rsid w:val="00282136"/>
    <w:rsid w:val="002C1CF5"/>
    <w:rsid w:val="00310803"/>
    <w:rsid w:val="003D684E"/>
    <w:rsid w:val="00465309"/>
    <w:rsid w:val="005722FE"/>
    <w:rsid w:val="005A6A23"/>
    <w:rsid w:val="005F52F5"/>
    <w:rsid w:val="00696275"/>
    <w:rsid w:val="006B4949"/>
    <w:rsid w:val="006E6C3F"/>
    <w:rsid w:val="007479A0"/>
    <w:rsid w:val="00781E9C"/>
    <w:rsid w:val="007B7E3E"/>
    <w:rsid w:val="007C3F77"/>
    <w:rsid w:val="008342A5"/>
    <w:rsid w:val="00843948"/>
    <w:rsid w:val="0084777F"/>
    <w:rsid w:val="008C6981"/>
    <w:rsid w:val="00912431"/>
    <w:rsid w:val="00932A34"/>
    <w:rsid w:val="00974DB7"/>
    <w:rsid w:val="009E0644"/>
    <w:rsid w:val="00A041F0"/>
    <w:rsid w:val="00A04B58"/>
    <w:rsid w:val="00A235F4"/>
    <w:rsid w:val="00A257DF"/>
    <w:rsid w:val="00A72823"/>
    <w:rsid w:val="00AF058D"/>
    <w:rsid w:val="00B4435E"/>
    <w:rsid w:val="00BB3195"/>
    <w:rsid w:val="00BD6D7D"/>
    <w:rsid w:val="00BF5479"/>
    <w:rsid w:val="00C016C2"/>
    <w:rsid w:val="00C37018"/>
    <w:rsid w:val="00CE51CE"/>
    <w:rsid w:val="00D750C2"/>
    <w:rsid w:val="00DD58E4"/>
    <w:rsid w:val="00DE0FCF"/>
    <w:rsid w:val="00E23B4D"/>
    <w:rsid w:val="00E27807"/>
    <w:rsid w:val="00E562BB"/>
    <w:rsid w:val="00E63CEB"/>
    <w:rsid w:val="00E81AAE"/>
    <w:rsid w:val="00E94B75"/>
    <w:rsid w:val="00F06A05"/>
    <w:rsid w:val="00F1040F"/>
    <w:rsid w:val="00F52B05"/>
    <w:rsid w:val="00FD57A3"/>
    <w:rsid w:val="00FE0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D7D"/>
    <w:rPr>
      <w:color w:val="808080"/>
    </w:rPr>
  </w:style>
  <w:style w:type="paragraph" w:customStyle="1" w:styleId="12C0536B80014D9AA739C5DFB06BBCC6">
    <w:name w:val="12C0536B80014D9AA739C5DFB06BBCC6"/>
    <w:rsid w:val="00BD6D7D"/>
    <w:pPr>
      <w:spacing w:line="278" w:lineRule="auto"/>
    </w:pPr>
    <w:rPr>
      <w:kern w:val="2"/>
      <w:sz w:val="24"/>
      <w:szCs w:val="24"/>
      <w14:ligatures w14:val="standardContextual"/>
    </w:rPr>
  </w:style>
  <w:style w:type="paragraph" w:customStyle="1" w:styleId="54FF68D7F353442DA8842188DA8B9754">
    <w:name w:val="54FF68D7F353442DA8842188DA8B9754"/>
    <w:rsid w:val="00BD6D7D"/>
    <w:pPr>
      <w:spacing w:line="278" w:lineRule="auto"/>
    </w:pPr>
    <w:rPr>
      <w:kern w:val="2"/>
      <w:sz w:val="24"/>
      <w:szCs w:val="24"/>
      <w14:ligatures w14:val="standardContextual"/>
    </w:rPr>
  </w:style>
  <w:style w:type="paragraph" w:customStyle="1" w:styleId="2B0308448A4E4D6DA3EB415A9C6269B1">
    <w:name w:val="2B0308448A4E4D6DA3EB415A9C6269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369F098-06E9-45AD-BA8E-B54AD9FD2F94}">
  <ds:schemaRefs>
    <ds:schemaRef ds:uri="http://schemas.microsoft.com/office/2006/documentManagement/types"/>
    <ds:schemaRef ds:uri="http://www.w3.org/XML/1998/namespace"/>
    <ds:schemaRef ds:uri="http://schemas.microsoft.com/office/infopath/2007/PartnerControls"/>
    <ds:schemaRef ds:uri="671dc83a-4d2b-4074-96cb-94c54810c83c"/>
    <ds:schemaRef ds:uri="http://purl.org/dc/terms/"/>
    <ds:schemaRef ds:uri="http://schemas.openxmlformats.org/package/2006/metadata/core-properties"/>
    <ds:schemaRef ds:uri="24d6d8e0-7f01-4a4d-a00c-b7e1c8b583a3"/>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86</TotalTime>
  <Pages>24</Pages>
  <Words>4892</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Benchmarking of international railway infrastructure managers’ expenditure (covering operations, support, maintenance and renewals activities)</dc:subject>
  <dc:creator>Angeriz-Santos, Paula</dc:creator>
  <cp:keywords/>
  <dc:description/>
  <cp:lastModifiedBy>Dinkele, Harriet</cp:lastModifiedBy>
  <cp:revision>4</cp:revision>
  <cp:lastPrinted>2021-02-24T15:29:00Z</cp:lastPrinted>
  <dcterms:created xsi:type="dcterms:W3CDTF">2025-06-12T14:31:00Z</dcterms:created>
  <dcterms:modified xsi:type="dcterms:W3CDTF">2025-06-12T15:56:00Z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