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BCEC" w14:textId="4CEC5961" w:rsidR="001D643D" w:rsidRPr="001D643D" w:rsidRDefault="001D643D" w:rsidP="001D643D">
      <w:pPr>
        <w:pStyle w:val="Blockheading"/>
        <w:rPr>
          <w:rFonts w:ascii="Arial" w:hAnsi="Arial" w:cs="Arial"/>
        </w:rPr>
      </w:pPr>
      <w:r w:rsidRPr="41972E2A">
        <w:rPr>
          <w:rFonts w:ascii="Arial" w:hAnsi="Arial" w:cs="Arial"/>
        </w:rPr>
        <w:t xml:space="preserve">Annex </w:t>
      </w:r>
      <w:r w:rsidR="00A91E5E" w:rsidRPr="41972E2A">
        <w:rPr>
          <w:rFonts w:ascii="Arial" w:hAnsi="Arial" w:cs="Arial"/>
        </w:rPr>
        <w:t>1</w:t>
      </w:r>
      <w:r w:rsidRPr="41972E2A">
        <w:rPr>
          <w:rFonts w:ascii="Arial" w:hAnsi="Arial" w:cs="Arial"/>
        </w:rPr>
        <w:t xml:space="preserve"> </w:t>
      </w:r>
      <w:r w:rsidR="006A5424" w:rsidRPr="41972E2A">
        <w:rPr>
          <w:rFonts w:ascii="Arial" w:hAnsi="Arial" w:cs="Arial"/>
        </w:rPr>
        <w:t xml:space="preserve">- </w:t>
      </w:r>
      <w:r w:rsidRPr="41972E2A">
        <w:rPr>
          <w:rFonts w:ascii="Arial" w:hAnsi="Arial" w:cs="Arial"/>
        </w:rPr>
        <w:t>Detailed Specification.</w:t>
      </w:r>
      <w:r w:rsidR="0360B20D" w:rsidRPr="41972E2A">
        <w:rPr>
          <w:rFonts w:ascii="Arial" w:hAnsi="Arial" w:cs="Arial"/>
        </w:rPr>
        <w:t xml:space="preserve"> England Urban Habitat Map</w:t>
      </w:r>
      <w:r w:rsidR="52E2BF2E" w:rsidRPr="41972E2A">
        <w:rPr>
          <w:rFonts w:ascii="Arial" w:hAnsi="Arial" w:cs="Arial"/>
        </w:rPr>
        <w:t>s</w:t>
      </w:r>
      <w:r w:rsidR="0360B20D" w:rsidRPr="41972E2A">
        <w:rPr>
          <w:rFonts w:ascii="Arial" w:hAnsi="Arial" w:cs="Arial"/>
        </w:rPr>
        <w:t xml:space="preserve"> – Expansion of mapped areas.</w:t>
      </w:r>
    </w:p>
    <w:p w14:paraId="655F65C0" w14:textId="77777777" w:rsidR="001D643D" w:rsidRPr="001D643D" w:rsidRDefault="001D643D" w:rsidP="001D643D">
      <w:pPr>
        <w:pStyle w:val="Blockheading"/>
        <w:rPr>
          <w:rFonts w:ascii="Arial" w:hAnsi="Arial" w:cs="Arial"/>
        </w:rPr>
      </w:pPr>
      <w:r w:rsidRPr="001D643D">
        <w:rPr>
          <w:rFonts w:ascii="Arial" w:hAnsi="Arial" w:cs="Arial"/>
        </w:rPr>
        <w:t xml:space="preserve">Background to Natural England. </w:t>
      </w:r>
    </w:p>
    <w:p w14:paraId="17CF638C" w14:textId="77777777" w:rsidR="001D643D" w:rsidRPr="001D643D" w:rsidRDefault="001D643D" w:rsidP="001D643D">
      <w:pPr>
        <w:rPr>
          <w:rFonts w:cs="Arial"/>
          <w:lang w:eastAsia="en-GB"/>
        </w:rPr>
      </w:pPr>
      <w:r w:rsidRPr="001D643D">
        <w:rPr>
          <w:rFonts w:cs="Arial"/>
          <w:lang w:eastAsia="en-GB"/>
        </w:rPr>
        <w:t>Our remit</w:t>
      </w:r>
    </w:p>
    <w:p w14:paraId="0A2AC1D0" w14:textId="77777777" w:rsidR="001D643D" w:rsidRPr="001D643D" w:rsidRDefault="001D643D" w:rsidP="001D643D">
      <w:pPr>
        <w:rPr>
          <w:rFonts w:cs="Arial"/>
          <w:lang w:eastAsia="en-GB"/>
        </w:rPr>
      </w:pPr>
      <w:r w:rsidRPr="001D643D">
        <w:rPr>
          <w:rFonts w:cs="Arial"/>
          <w:lang w:eastAsia="en-GB"/>
        </w:rPr>
        <w:t>Natural England is the government’s advisor on the natural environment. We provide practical advice, grounded in science, on how best to safeguard England’s natural wealth for the benefit of everyone.</w:t>
      </w:r>
    </w:p>
    <w:p w14:paraId="2559F4C6" w14:textId="77777777" w:rsidR="001D643D" w:rsidRPr="001D643D" w:rsidRDefault="001D643D" w:rsidP="001D643D">
      <w:pPr>
        <w:rPr>
          <w:rFonts w:cs="Arial"/>
          <w:lang w:eastAsia="en-GB"/>
        </w:rPr>
      </w:pPr>
      <w:r w:rsidRPr="001D643D">
        <w:rPr>
          <w:rFonts w:cs="Arial"/>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071009DA" w14:textId="77777777" w:rsidR="001D643D" w:rsidRPr="001D643D" w:rsidRDefault="001D643D" w:rsidP="001D643D">
      <w:pPr>
        <w:rPr>
          <w:rFonts w:cs="Arial"/>
          <w:lang w:eastAsia="en-GB"/>
        </w:rPr>
      </w:pPr>
      <w:r w:rsidRPr="001D643D">
        <w:rPr>
          <w:rFonts w:cs="Arial"/>
          <w:lang w:eastAsia="en-GB"/>
        </w:rPr>
        <w:t>NERC Act</w:t>
      </w:r>
    </w:p>
    <w:p w14:paraId="0D56B356" w14:textId="77777777" w:rsidR="001D643D" w:rsidRPr="001D643D" w:rsidRDefault="001D643D" w:rsidP="001D643D">
      <w:pPr>
        <w:rPr>
          <w:rFonts w:cs="Arial"/>
          <w:lang w:eastAsia="en-GB"/>
        </w:rPr>
      </w:pPr>
      <w:r w:rsidRPr="001D643D">
        <w:rPr>
          <w:rFonts w:cs="Arial"/>
          <w:lang w:eastAsia="en-GB"/>
        </w:rPr>
        <w:t>Natural England was formally established on 01 October 2006 following the successful passage of the </w:t>
      </w:r>
      <w:hyperlink r:id="rId11" w:history="1">
        <w:r w:rsidRPr="001D643D">
          <w:rPr>
            <w:rFonts w:cs="Arial"/>
            <w:lang w:eastAsia="en-GB"/>
          </w:rPr>
          <w:t>Natural Environment and Rural Communities (NERC) Act 2006</w:t>
        </w:r>
      </w:hyperlink>
      <w:r w:rsidRPr="001D643D">
        <w:rPr>
          <w:rFonts w:cs="Arial"/>
          <w:lang w:eastAsia="en-GB"/>
        </w:rPr>
        <w:t> through Parliament. We are an independent statutory Non-Departmental Public Body.  </w:t>
      </w:r>
    </w:p>
    <w:p w14:paraId="522A9420" w14:textId="77777777" w:rsidR="001D643D" w:rsidRPr="001D643D" w:rsidRDefault="001D643D" w:rsidP="001D643D">
      <w:pPr>
        <w:rPr>
          <w:rFonts w:cs="Arial"/>
          <w:lang w:eastAsia="en-GB"/>
        </w:rPr>
      </w:pPr>
      <w:r w:rsidRPr="001D643D">
        <w:rPr>
          <w:rFonts w:cs="Arial"/>
          <w:lang w:eastAsia="en-GB"/>
        </w:rPr>
        <w:t>The NERC Act sets out Natural England's purpose: to ensure that the natural environment is conserved, enhanced and managed for the benefit of present and future generations, thereby contributing to sustainable development. </w:t>
      </w:r>
    </w:p>
    <w:p w14:paraId="46817E12" w14:textId="1A4BBF05" w:rsidR="001D643D" w:rsidRPr="001D643D" w:rsidRDefault="001D643D" w:rsidP="00B1776E">
      <w:pPr>
        <w:spacing w:after="0"/>
        <w:rPr>
          <w:rFonts w:cs="Arial"/>
          <w:lang w:eastAsia="en-GB"/>
        </w:rPr>
      </w:pPr>
      <w:r w:rsidRPr="001D643D">
        <w:rPr>
          <w:rFonts w:cs="Arial"/>
          <w:lang w:eastAsia="en-GB"/>
        </w:rPr>
        <w:t>The Act states that this purpose includes:</w:t>
      </w:r>
      <w:r w:rsidRPr="001D643D">
        <w:rPr>
          <w:rFonts w:cs="Arial"/>
          <w:lang w:eastAsia="en-GB"/>
        </w:rPr>
        <w:br/>
        <w:t>​​​​​​</w:t>
      </w:r>
    </w:p>
    <w:p w14:paraId="70CE4856"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nature conservation and protecting biodiversity</w:t>
      </w:r>
    </w:p>
    <w:p w14:paraId="34B9F63E"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conserving and enhancing the landscape</w:t>
      </w:r>
    </w:p>
    <w:p w14:paraId="5D286AAF" w14:textId="3B5A47AF"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securing the provision and improvement of facilities for the study, understanding and enjoyment of the natural environment</w:t>
      </w:r>
    </w:p>
    <w:p w14:paraId="5048E613" w14:textId="77777777" w:rsidR="00B1776E"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access to the countryside, open spaces and encouraging open air recreation </w:t>
      </w:r>
    </w:p>
    <w:p w14:paraId="2C34258E" w14:textId="477CD031" w:rsidR="00B1776E" w:rsidRDefault="001D643D" w:rsidP="00B1776E">
      <w:pPr>
        <w:pStyle w:val="BulletText2"/>
        <w:spacing w:before="0" w:after="0"/>
        <w:rPr>
          <w:rFonts w:ascii="Arial" w:hAnsi="Arial" w:cs="Arial"/>
          <w:sz w:val="24"/>
          <w:szCs w:val="24"/>
          <w:lang w:eastAsia="en-GB"/>
        </w:rPr>
      </w:pPr>
      <w:r w:rsidRPr="00B1776E">
        <w:rPr>
          <w:rFonts w:ascii="Arial" w:hAnsi="Arial" w:cs="Arial"/>
          <w:sz w:val="24"/>
          <w:szCs w:val="24"/>
          <w:lang w:eastAsia="en-GB"/>
        </w:rPr>
        <w:t>contributing in other ways to social and economic wellbeing through management of the natural</w:t>
      </w:r>
      <w:r w:rsidRPr="00B1776E">
        <w:rPr>
          <w:rFonts w:ascii="Arial" w:hAnsi="Arial" w:cs="Arial"/>
          <w:sz w:val="24"/>
          <w:szCs w:val="24"/>
        </w:rPr>
        <w:t xml:space="preserve"> environment.</w:t>
      </w:r>
      <w:r w:rsidRPr="00B1776E">
        <w:rPr>
          <w:rFonts w:cs="Arial"/>
          <w:sz w:val="24"/>
          <w:szCs w:val="24"/>
        </w:rPr>
        <w:t xml:space="preserve"> </w:t>
      </w:r>
      <w:r w:rsidR="00B1776E">
        <w:rPr>
          <w:rFonts w:cs="Arial"/>
          <w:sz w:val="24"/>
          <w:szCs w:val="24"/>
        </w:rPr>
        <w:br/>
      </w:r>
    </w:p>
    <w:p w14:paraId="23DAC48F" w14:textId="44A85761" w:rsidR="001D643D" w:rsidRPr="00C777F7" w:rsidRDefault="001D643D" w:rsidP="00C777F7">
      <w:pPr>
        <w:pStyle w:val="BulletText2"/>
        <w:numPr>
          <w:ilvl w:val="0"/>
          <w:numId w:val="0"/>
        </w:numPr>
        <w:rPr>
          <w:rStyle w:val="Important"/>
          <w:b w:val="0"/>
          <w:color w:val="auto"/>
          <w:szCs w:val="24"/>
          <w:lang w:eastAsia="en-GB"/>
        </w:rPr>
      </w:pPr>
      <w:r w:rsidRPr="00B1776E">
        <w:rPr>
          <w:rFonts w:ascii="Arial" w:hAnsi="Arial" w:cs="Arial"/>
          <w:sz w:val="24"/>
          <w:szCs w:val="24"/>
          <w:lang w:eastAsia="en-GB"/>
        </w:rPr>
        <w:lastRenderedPageBreak/>
        <w:t>You can </w:t>
      </w:r>
      <w:hyperlink r:id="rId12" w:history="1">
        <w:r w:rsidRPr="00B1776E">
          <w:rPr>
            <w:rFonts w:ascii="Arial" w:hAnsi="Arial" w:cs="Arial"/>
            <w:sz w:val="24"/>
            <w:szCs w:val="24"/>
            <w:lang w:eastAsia="en-GB"/>
          </w:rPr>
          <w:t>read more about what we do</w:t>
        </w:r>
      </w:hyperlink>
      <w:r w:rsidRPr="00B1776E">
        <w:rPr>
          <w:rFonts w:ascii="Arial" w:hAnsi="Arial" w:cs="Arial"/>
          <w:sz w:val="24"/>
          <w:szCs w:val="24"/>
          <w:lang w:eastAsia="en-GB"/>
        </w:rPr>
        <w:t> on GOV.UK.</w:t>
      </w:r>
    </w:p>
    <w:p w14:paraId="1AB372CD" w14:textId="143DD0E9" w:rsidR="001D643D" w:rsidRPr="001F291F" w:rsidRDefault="001D643D" w:rsidP="001D643D">
      <w:pPr>
        <w:pStyle w:val="Topictitle"/>
        <w:rPr>
          <w:rStyle w:val="Text"/>
        </w:rPr>
      </w:pPr>
      <w:r w:rsidRPr="726E5EE9">
        <w:rPr>
          <w:rStyle w:val="Text"/>
        </w:rPr>
        <w:t xml:space="preserve">England Green Infrastructure Mapping Database - Urban Habitat and Naturalness Mapping </w:t>
      </w:r>
      <w:r w:rsidR="00641FA6">
        <w:rPr>
          <w:rStyle w:val="Text"/>
        </w:rPr>
        <w:t xml:space="preserve">– </w:t>
      </w:r>
      <w:r w:rsidR="00A64B6E">
        <w:rPr>
          <w:rStyle w:val="Text"/>
        </w:rPr>
        <w:t>Expansion.</w:t>
      </w:r>
    </w:p>
    <w:p w14:paraId="7147D592" w14:textId="48759CCA" w:rsidR="001D643D" w:rsidRPr="001F291F" w:rsidRDefault="001D643D" w:rsidP="001D643D">
      <w:pPr>
        <w:pStyle w:val="Topictitle"/>
        <w:rPr>
          <w:rStyle w:val="Text"/>
        </w:rPr>
      </w:pPr>
      <w:r w:rsidRPr="726E5EE9">
        <w:rPr>
          <w:rStyle w:val="Text"/>
        </w:rPr>
        <w:t xml:space="preserve">Project reference - UHM </w:t>
      </w:r>
      <w:r w:rsidR="00C152AB">
        <w:rPr>
          <w:rStyle w:val="Text"/>
        </w:rPr>
        <w:t>(E)</w:t>
      </w:r>
      <w:r w:rsidRPr="726E5EE9">
        <w:rPr>
          <w:rStyle w:val="Text"/>
        </w:rPr>
        <w:t>.</w:t>
      </w:r>
    </w:p>
    <w:p w14:paraId="6BD93D98" w14:textId="7D04EECB" w:rsidR="001D643D" w:rsidRPr="001D643D" w:rsidRDefault="001D643D" w:rsidP="001D643D">
      <w:pPr>
        <w:pStyle w:val="Blockheading"/>
        <w:rPr>
          <w:rFonts w:ascii="Arial" w:hAnsi="Arial" w:cs="Arial"/>
        </w:rPr>
      </w:pPr>
      <w:r w:rsidRPr="001D643D">
        <w:rPr>
          <w:rFonts w:ascii="Arial" w:hAnsi="Arial" w:cs="Arial"/>
        </w:rPr>
        <w:t>Background</w:t>
      </w:r>
      <w:r w:rsidR="00D47D86">
        <w:rPr>
          <w:rFonts w:ascii="Arial" w:hAnsi="Arial" w:cs="Arial"/>
        </w:rPr>
        <w:t>.</w:t>
      </w:r>
      <w:r w:rsidRPr="001D643D">
        <w:rPr>
          <w:rFonts w:ascii="Arial" w:hAnsi="Arial" w:cs="Arial"/>
        </w:rPr>
        <w:t xml:space="preserve"> </w:t>
      </w:r>
    </w:p>
    <w:p w14:paraId="081CDE4B" w14:textId="77777777" w:rsidR="001D643D" w:rsidRDefault="001D643D" w:rsidP="001D643D">
      <w:r>
        <w:t>The England Green Infrastructure Mapping database is a part of the England Green Infrastructure Standards Framework and is being delivered as part of the Natural Capital and Ecosystems Assessment Programme</w:t>
      </w:r>
    </w:p>
    <w:p w14:paraId="56889047" w14:textId="77777777" w:rsidR="001D643D" w:rsidRDefault="001D643D" w:rsidP="001D643D">
      <w:r>
        <w:t>The current version of the England Green Infrastructure Mapping can be viewed via the link below.  Please note that this does not include any of the existing (Phase 1) Urban Habitat and Naturalness mapping.</w:t>
      </w:r>
    </w:p>
    <w:bookmarkStart w:id="0" w:name="_Hlk140047867"/>
    <w:p w14:paraId="5013D400" w14:textId="77777777" w:rsidR="001D643D" w:rsidRPr="001C3EA3" w:rsidRDefault="001D643D" w:rsidP="001D643D">
      <w:r>
        <w:fldChar w:fldCharType="begin"/>
      </w:r>
      <w:r>
        <w:instrText xml:space="preserve"> HYPERLINK "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01%7CMartin.Moss%40naturalengland.org.uk%7C160138e94e8e43b0c07408dad38ce2d7%7C770a245002274c6290c74e38537f1102%7C0%7C0%7C638054899321484718%7CUnknown%7CTWFpbGZsb3d8eyJWIjoiMC4wLjAwMDAiLCJQIjoiV2luMzIiLCJBTiI6Ik1haWwiLCJXVCI6Mn0%3D%7C3000%7C%7C%7C&amp;sdata=aN0BFX6dI2E03vTyi3So%2Boj9CgIWmLrVQTUphCSn0E4%3D&amp;reserved=0" </w:instrText>
      </w:r>
      <w:r>
        <w:fldChar w:fldCharType="separate"/>
      </w:r>
      <w:r w:rsidRPr="001C3EA3">
        <w:rPr>
          <w:rStyle w:val="Hyperlink"/>
        </w:rPr>
        <w:t>Home (naturalengland.org.uk)</w:t>
      </w:r>
      <w:r>
        <w:rPr>
          <w:rStyle w:val="Hyperlink"/>
        </w:rPr>
        <w:fldChar w:fldCharType="end"/>
      </w:r>
    </w:p>
    <w:bookmarkEnd w:id="0"/>
    <w:p w14:paraId="23B8E688" w14:textId="77777777" w:rsidR="001D643D" w:rsidRDefault="001D643D" w:rsidP="001D643D">
      <w:r>
        <w:t>Information about the Natural Capital and Ecosystems Assessment Programme can be found via the link below.</w:t>
      </w:r>
    </w:p>
    <w:bookmarkStart w:id="1" w:name="_Hlk140047763"/>
    <w:p w14:paraId="0770C3C7" w14:textId="77777777" w:rsidR="001D643D" w:rsidRDefault="001D643D" w:rsidP="001D643D">
      <w:r>
        <w:fldChar w:fldCharType="begin"/>
      </w:r>
      <w:r>
        <w:instrText xml:space="preserve"> HYPERLINK "https://www.gov.uk/government/publications/natural-capital-and-ecosystem-assessment-programme/natural-capital-and-ecosystem-assessment-programme" </w:instrText>
      </w:r>
      <w:r>
        <w:fldChar w:fldCharType="separate"/>
      </w:r>
      <w:r w:rsidRPr="001C3EA3">
        <w:t>Natural Capital and Ecosystem Assessment Programme - GOV.UK (www.gov.uk)</w:t>
      </w:r>
      <w:r>
        <w:fldChar w:fldCharType="end"/>
      </w:r>
      <w:bookmarkEnd w:id="1"/>
    </w:p>
    <w:p w14:paraId="0C137101" w14:textId="77777777" w:rsidR="001D643D" w:rsidRDefault="001D643D" w:rsidP="001D643D">
      <w:r w:rsidRPr="001C3EA3">
        <w:rPr>
          <w:noProof/>
        </w:rPr>
        <w:drawing>
          <wp:inline distT="0" distB="0" distL="0" distR="0" wp14:anchorId="64460920" wp14:editId="6DD90343">
            <wp:extent cx="1714500" cy="1286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464" cy="1294847"/>
                    </a:xfrm>
                    <a:prstGeom prst="rect">
                      <a:avLst/>
                    </a:prstGeom>
                    <a:noFill/>
                    <a:ln>
                      <a:noFill/>
                    </a:ln>
                  </pic:spPr>
                </pic:pic>
              </a:graphicData>
            </a:graphic>
          </wp:inline>
        </w:drawing>
      </w:r>
    </w:p>
    <w:p w14:paraId="60E2E052" w14:textId="77777777" w:rsidR="001D643D" w:rsidRDefault="001D643D" w:rsidP="001D643D">
      <w:r>
        <w:t>The overall purpose of the England Green Infrastructure Mapping Database is to provide England level data to support a range of planning, strategy and resource targeting processes to help and designed to help deliver the England Green Infrastructure Standards framework.</w:t>
      </w:r>
    </w:p>
    <w:p w14:paraId="7AC48307" w14:textId="77777777" w:rsidR="001D643D" w:rsidRPr="001D643D" w:rsidRDefault="001D643D" w:rsidP="001D643D">
      <w:pPr>
        <w:pStyle w:val="Topictitle"/>
        <w:rPr>
          <w:rFonts w:ascii="Arial" w:hAnsi="Arial" w:cs="Arial"/>
        </w:rPr>
      </w:pPr>
      <w:r w:rsidRPr="001D643D">
        <w:rPr>
          <w:rFonts w:ascii="Arial" w:hAnsi="Arial" w:cs="Arial"/>
        </w:rPr>
        <w:t>Project scope and overview.</w:t>
      </w:r>
    </w:p>
    <w:p w14:paraId="2E33EA4D" w14:textId="223CCA4E" w:rsidR="00AE25FD" w:rsidRDefault="001D643D" w:rsidP="001D643D">
      <w:r>
        <w:t xml:space="preserve">An Earth Observation based approach to developing Urban Habitat and Naturalness Maps was developed during </w:t>
      </w:r>
      <w:r w:rsidR="00AE25FD">
        <w:t xml:space="preserve">a pilot phase </w:t>
      </w:r>
      <w:r w:rsidR="00AA7979">
        <w:t xml:space="preserve">in </w:t>
      </w:r>
      <w:r>
        <w:t xml:space="preserve">2021/22 and further refined during </w:t>
      </w:r>
      <w:r w:rsidR="007C6483">
        <w:t>three trial phases between 2022/23 and 2024/25.</w:t>
      </w:r>
    </w:p>
    <w:p w14:paraId="5AAEFAF5" w14:textId="77777777" w:rsidR="00A8462C" w:rsidRPr="00A8462C" w:rsidRDefault="00A8462C" w:rsidP="00A8462C">
      <w:pPr>
        <w:rPr>
          <w:rStyle w:val="Important"/>
          <w:b w:val="0"/>
          <w:color w:val="auto"/>
        </w:rPr>
      </w:pPr>
      <w:r w:rsidRPr="00AA6DB1">
        <w:rPr>
          <w:rStyle w:val="Important"/>
          <w:b w:val="0"/>
          <w:color w:val="auto"/>
        </w:rPr>
        <w:t>During 2024/25, the resulting data and method were technically reviewed by Axion Solutions, and a limited stakeholder engagement exercise was run to gain feedback on the outputs from the pilots and trialling phases.</w:t>
      </w:r>
    </w:p>
    <w:p w14:paraId="003A3791" w14:textId="5F02D0CF" w:rsidR="00BB51E3" w:rsidRPr="00A8462C" w:rsidRDefault="003C0FFC" w:rsidP="00A8462C">
      <w:pPr>
        <w:rPr>
          <w:rStyle w:val="Important"/>
          <w:b w:val="0"/>
          <w:color w:val="auto"/>
        </w:rPr>
      </w:pPr>
      <w:r>
        <w:rPr>
          <w:rStyle w:val="Important"/>
          <w:b w:val="0"/>
          <w:color w:val="auto"/>
        </w:rPr>
        <w:t xml:space="preserve">A simplified image file of the Broad Urban Habitat data is included in the </w:t>
      </w:r>
      <w:hyperlink r:id="rId14" w:history="1">
        <w:r w:rsidR="00BB51E3" w:rsidRPr="00BB51E3">
          <w:rPr>
            <w:color w:val="0000FF"/>
            <w:u w:val="single"/>
          </w:rPr>
          <w:t>Green Infrastructure Map</w:t>
        </w:r>
      </w:hyperlink>
      <w:r w:rsidR="00B505B9">
        <w:rPr>
          <w:rStyle w:val="Important"/>
          <w:b w:val="0"/>
          <w:color w:val="auto"/>
        </w:rPr>
        <w:t xml:space="preserve">.  </w:t>
      </w:r>
      <w:proofErr w:type="gramStart"/>
      <w:r w:rsidR="00B505B9">
        <w:rPr>
          <w:rStyle w:val="Important"/>
          <w:b w:val="0"/>
          <w:color w:val="auto"/>
        </w:rPr>
        <w:t>However</w:t>
      </w:r>
      <w:proofErr w:type="gramEnd"/>
      <w:r w:rsidR="00B505B9">
        <w:rPr>
          <w:rStyle w:val="Important"/>
          <w:b w:val="0"/>
          <w:color w:val="auto"/>
        </w:rPr>
        <w:t xml:space="preserve"> the data is not </w:t>
      </w:r>
      <w:proofErr w:type="gramStart"/>
      <w:r w:rsidR="00B505B9">
        <w:rPr>
          <w:rStyle w:val="Important"/>
          <w:b w:val="0"/>
          <w:color w:val="auto"/>
        </w:rPr>
        <w:t>open</w:t>
      </w:r>
      <w:proofErr w:type="gramEnd"/>
      <w:r w:rsidR="00B505B9">
        <w:rPr>
          <w:rStyle w:val="Important"/>
          <w:b w:val="0"/>
          <w:color w:val="auto"/>
        </w:rPr>
        <w:t xml:space="preserve"> and </w:t>
      </w:r>
      <w:r w:rsidR="00F728AB">
        <w:rPr>
          <w:rStyle w:val="Important"/>
          <w:b w:val="0"/>
          <w:color w:val="auto"/>
        </w:rPr>
        <w:t xml:space="preserve">a sample of the data (for initial </w:t>
      </w:r>
      <w:r w:rsidR="00F728AB">
        <w:rPr>
          <w:rStyle w:val="Important"/>
          <w:b w:val="0"/>
          <w:color w:val="auto"/>
        </w:rPr>
        <w:lastRenderedPageBreak/>
        <w:t xml:space="preserve">reference purposes) </w:t>
      </w:r>
      <w:r w:rsidR="0075093D">
        <w:rPr>
          <w:rStyle w:val="Important"/>
          <w:b w:val="0"/>
          <w:color w:val="auto"/>
        </w:rPr>
        <w:t>can</w:t>
      </w:r>
      <w:r w:rsidR="00B505B9">
        <w:rPr>
          <w:rStyle w:val="Important"/>
          <w:b w:val="0"/>
          <w:color w:val="auto"/>
        </w:rPr>
        <w:t xml:space="preserve"> only be made available to the successful contractor under PSGA Contractor License at the start of the contract.</w:t>
      </w:r>
    </w:p>
    <w:p w14:paraId="45A51D4E" w14:textId="5DB67AE0" w:rsidR="00C22138" w:rsidRDefault="00FD3027" w:rsidP="00A8462C">
      <w:pPr>
        <w:rPr>
          <w:rStyle w:val="Important"/>
          <w:b w:val="0"/>
          <w:color w:val="auto"/>
        </w:rPr>
      </w:pPr>
      <w:r w:rsidRPr="4455607D">
        <w:rPr>
          <w:rStyle w:val="Important"/>
          <w:b w:val="0"/>
          <w:color w:val="auto"/>
        </w:rPr>
        <w:t xml:space="preserve">Because the method has developed over a </w:t>
      </w:r>
      <w:proofErr w:type="gramStart"/>
      <w:r w:rsidRPr="4455607D">
        <w:rPr>
          <w:rStyle w:val="Important"/>
          <w:b w:val="0"/>
          <w:color w:val="auto"/>
        </w:rPr>
        <w:t>4 year</w:t>
      </w:r>
      <w:proofErr w:type="gramEnd"/>
      <w:r w:rsidRPr="4455607D">
        <w:rPr>
          <w:rStyle w:val="Important"/>
          <w:b w:val="0"/>
          <w:color w:val="auto"/>
        </w:rPr>
        <w:t xml:space="preserve"> period and involved a pilot </w:t>
      </w:r>
      <w:r w:rsidR="0065000D">
        <w:rPr>
          <w:rStyle w:val="Important"/>
          <w:b w:val="0"/>
          <w:color w:val="auto"/>
        </w:rPr>
        <w:t xml:space="preserve">(3 cities) </w:t>
      </w:r>
      <w:r w:rsidRPr="4455607D">
        <w:rPr>
          <w:rStyle w:val="Important"/>
          <w:b w:val="0"/>
          <w:color w:val="auto"/>
        </w:rPr>
        <w:t>and three trial phases, in addition to a st</w:t>
      </w:r>
      <w:r w:rsidR="00E11EA4" w:rsidRPr="4455607D">
        <w:rPr>
          <w:rStyle w:val="Important"/>
          <w:b w:val="0"/>
          <w:color w:val="auto"/>
        </w:rPr>
        <w:t xml:space="preserve">akeholder feedback exercise and technical review, the existing mapping includes differences </w:t>
      </w:r>
      <w:r w:rsidR="00C22138" w:rsidRPr="4455607D">
        <w:rPr>
          <w:rStyle w:val="Important"/>
          <w:b w:val="0"/>
          <w:color w:val="auto"/>
        </w:rPr>
        <w:t>relating to</w:t>
      </w:r>
      <w:r w:rsidR="374735DA" w:rsidRPr="4455607D">
        <w:rPr>
          <w:rStyle w:val="Important"/>
          <w:b w:val="0"/>
          <w:color w:val="auto"/>
        </w:rPr>
        <w:t xml:space="preserve"> </w:t>
      </w:r>
      <w:r w:rsidR="00C22138" w:rsidRPr="4455607D">
        <w:rPr>
          <w:rStyle w:val="Important"/>
          <w:b w:val="0"/>
          <w:color w:val="auto"/>
        </w:rPr>
        <w:t>developments as they were made.</w:t>
      </w:r>
    </w:p>
    <w:p w14:paraId="4C759780" w14:textId="77777777" w:rsidR="00143938" w:rsidRDefault="00A8462C" w:rsidP="00A8462C">
      <w:pPr>
        <w:rPr>
          <w:rStyle w:val="Important"/>
          <w:b w:val="0"/>
          <w:color w:val="auto"/>
        </w:rPr>
      </w:pPr>
      <w:r w:rsidRPr="00AA6DB1">
        <w:rPr>
          <w:rStyle w:val="Important"/>
          <w:b w:val="0"/>
          <w:color w:val="auto"/>
        </w:rPr>
        <w:t xml:space="preserve">As a result of the feedback and review, some final adjustments have been developed to the Urban Habitat Mapping Method </w:t>
      </w:r>
      <w:r w:rsidR="005569EA">
        <w:rPr>
          <w:rStyle w:val="Important"/>
          <w:b w:val="0"/>
          <w:color w:val="auto"/>
        </w:rPr>
        <w:t xml:space="preserve">(these are set out in annex 5) </w:t>
      </w:r>
      <w:r w:rsidRPr="00AA6DB1">
        <w:rPr>
          <w:rStyle w:val="Important"/>
          <w:b w:val="0"/>
          <w:color w:val="auto"/>
        </w:rPr>
        <w:t xml:space="preserve">and Natural England </w:t>
      </w:r>
      <w:r w:rsidR="00AF56ED">
        <w:rPr>
          <w:rStyle w:val="Important"/>
          <w:b w:val="0"/>
          <w:color w:val="auto"/>
        </w:rPr>
        <w:t>are running a sister contract to this one to finalise the method</w:t>
      </w:r>
      <w:r w:rsidR="00143938">
        <w:rPr>
          <w:rStyle w:val="Important"/>
          <w:b w:val="0"/>
          <w:color w:val="auto"/>
        </w:rPr>
        <w:t xml:space="preserve"> and apply to bring all current data into the same format.</w:t>
      </w:r>
    </w:p>
    <w:p w14:paraId="32DE4D4C" w14:textId="1AC13D8A" w:rsidR="00184FEB" w:rsidRDefault="00143938" w:rsidP="00A8462C">
      <w:pPr>
        <w:rPr>
          <w:rStyle w:val="Important"/>
          <w:b w:val="0"/>
          <w:color w:val="auto"/>
        </w:rPr>
      </w:pPr>
      <w:r>
        <w:rPr>
          <w:rStyle w:val="Important"/>
          <w:b w:val="0"/>
          <w:color w:val="auto"/>
        </w:rPr>
        <w:t xml:space="preserve">The amended method will be an output of the sister contract and actual work to </w:t>
      </w:r>
      <w:r w:rsidR="00AF1616">
        <w:rPr>
          <w:rStyle w:val="Important"/>
          <w:b w:val="0"/>
          <w:color w:val="auto"/>
        </w:rPr>
        <w:t xml:space="preserve">undertake this contract will only start once this amended method is available.  </w:t>
      </w:r>
      <w:r w:rsidR="00184FEB">
        <w:rPr>
          <w:rStyle w:val="Important"/>
          <w:b w:val="0"/>
          <w:color w:val="auto"/>
        </w:rPr>
        <w:t xml:space="preserve">This is anticipated for </w:t>
      </w:r>
      <w:r w:rsidR="00242BBD">
        <w:rPr>
          <w:rStyle w:val="Important"/>
          <w:b w:val="0"/>
          <w:color w:val="auto"/>
        </w:rPr>
        <w:t>July</w:t>
      </w:r>
      <w:r w:rsidR="00184FEB">
        <w:rPr>
          <w:rStyle w:val="Important"/>
          <w:b w:val="0"/>
          <w:color w:val="auto"/>
        </w:rPr>
        <w:t xml:space="preserve"> 2025.</w:t>
      </w:r>
    </w:p>
    <w:p w14:paraId="3F5915B4" w14:textId="00013BEC" w:rsidR="004E74C0" w:rsidRDefault="00184FEB" w:rsidP="00A8462C">
      <w:pPr>
        <w:rPr>
          <w:rStyle w:val="Important"/>
          <w:b w:val="0"/>
          <w:color w:val="auto"/>
        </w:rPr>
      </w:pPr>
      <w:r w:rsidRPr="5B381B72">
        <w:rPr>
          <w:rStyle w:val="Important"/>
          <w:b w:val="0"/>
          <w:color w:val="auto"/>
        </w:rPr>
        <w:t xml:space="preserve">The amendments are however </w:t>
      </w:r>
      <w:proofErr w:type="gramStart"/>
      <w:r w:rsidRPr="5B381B72">
        <w:rPr>
          <w:rStyle w:val="Important"/>
          <w:b w:val="0"/>
          <w:color w:val="auto"/>
        </w:rPr>
        <w:t>fairly minor</w:t>
      </w:r>
      <w:proofErr w:type="gramEnd"/>
      <w:r w:rsidRPr="5B381B72">
        <w:rPr>
          <w:rStyle w:val="Important"/>
          <w:b w:val="0"/>
          <w:color w:val="auto"/>
        </w:rPr>
        <w:t xml:space="preserve"> and the </w:t>
      </w:r>
      <w:r w:rsidR="0007785B" w:rsidRPr="5B381B72">
        <w:rPr>
          <w:rStyle w:val="Important"/>
          <w:b w:val="0"/>
          <w:color w:val="auto"/>
        </w:rPr>
        <w:t xml:space="preserve">processing method in </w:t>
      </w:r>
      <w:r w:rsidR="59E82199" w:rsidRPr="5B381B72">
        <w:rPr>
          <w:rStyle w:val="Important"/>
          <w:b w:val="0"/>
          <w:color w:val="auto"/>
        </w:rPr>
        <w:t xml:space="preserve">Trimble </w:t>
      </w:r>
      <w:proofErr w:type="spellStart"/>
      <w:r w:rsidR="0007785B" w:rsidRPr="5B381B72">
        <w:rPr>
          <w:rStyle w:val="Important"/>
          <w:b w:val="0"/>
          <w:color w:val="auto"/>
        </w:rPr>
        <w:t>eCognition</w:t>
      </w:r>
      <w:proofErr w:type="spellEnd"/>
      <w:r w:rsidR="0007785B" w:rsidRPr="5B381B72">
        <w:rPr>
          <w:rStyle w:val="Important"/>
          <w:b w:val="0"/>
          <w:color w:val="auto"/>
        </w:rPr>
        <w:t xml:space="preserve"> is not likely to change substantially although amendments wil</w:t>
      </w:r>
      <w:r w:rsidR="410C572B" w:rsidRPr="5B381B72">
        <w:rPr>
          <w:rStyle w:val="Important"/>
          <w:b w:val="0"/>
          <w:color w:val="auto"/>
        </w:rPr>
        <w:t>l</w:t>
      </w:r>
      <w:r w:rsidR="0007785B" w:rsidRPr="5B381B72">
        <w:rPr>
          <w:rStyle w:val="Important"/>
          <w:b w:val="0"/>
          <w:color w:val="auto"/>
        </w:rPr>
        <w:t xml:space="preserve"> affect exactly how the source data will be processed within the main software </w:t>
      </w:r>
      <w:r w:rsidR="004E74C0" w:rsidRPr="5B381B72">
        <w:rPr>
          <w:rStyle w:val="Important"/>
          <w:b w:val="0"/>
          <w:color w:val="auto"/>
        </w:rPr>
        <w:t>(</w:t>
      </w:r>
      <w:r w:rsidR="178B0B5F" w:rsidRPr="5B381B72">
        <w:rPr>
          <w:rStyle w:val="Important"/>
          <w:b w:val="0"/>
          <w:color w:val="auto"/>
        </w:rPr>
        <w:t xml:space="preserve">Trimble </w:t>
      </w:r>
      <w:proofErr w:type="spellStart"/>
      <w:r w:rsidR="004E74C0" w:rsidRPr="5B381B72">
        <w:rPr>
          <w:rStyle w:val="Important"/>
          <w:b w:val="0"/>
          <w:color w:val="auto"/>
        </w:rPr>
        <w:t>eCognition</w:t>
      </w:r>
      <w:proofErr w:type="spellEnd"/>
      <w:r w:rsidR="004E74C0" w:rsidRPr="5B381B72">
        <w:rPr>
          <w:rStyle w:val="Important"/>
          <w:b w:val="0"/>
          <w:color w:val="auto"/>
        </w:rPr>
        <w:t>) used to generate the Urban Habitat Maps.</w:t>
      </w:r>
    </w:p>
    <w:p w14:paraId="67E03E4E" w14:textId="77777777" w:rsidR="00E0397C" w:rsidRDefault="004E74C0" w:rsidP="00A8462C">
      <w:pPr>
        <w:rPr>
          <w:rStyle w:val="Important"/>
          <w:b w:val="0"/>
          <w:color w:val="auto"/>
        </w:rPr>
      </w:pPr>
      <w:r>
        <w:rPr>
          <w:rStyle w:val="Important"/>
          <w:b w:val="0"/>
          <w:color w:val="auto"/>
        </w:rPr>
        <w:t xml:space="preserve">The existing User Guide for map production is </w:t>
      </w:r>
      <w:r w:rsidR="00E85D5C">
        <w:rPr>
          <w:rStyle w:val="Important"/>
          <w:b w:val="0"/>
          <w:color w:val="auto"/>
        </w:rPr>
        <w:t xml:space="preserve">attached as Annex 2 with Annexes 3 and 4 setting out some minor ruleset additions </w:t>
      </w:r>
      <w:r w:rsidR="009F7C34">
        <w:rPr>
          <w:rStyle w:val="Important"/>
          <w:b w:val="0"/>
          <w:color w:val="auto"/>
        </w:rPr>
        <w:t xml:space="preserve">derived from trial phases of mapping and Annex 5 setting out the amendments arising from the Stakeholder exercise.  Combining these additions and amendments </w:t>
      </w:r>
      <w:r w:rsidR="00463933">
        <w:rPr>
          <w:rStyle w:val="Important"/>
          <w:b w:val="0"/>
          <w:color w:val="auto"/>
        </w:rPr>
        <w:t>will create the final method iteration that will be applied in this contract.  Annexes 2, 3, 4 and 5 are included for reference.</w:t>
      </w:r>
    </w:p>
    <w:p w14:paraId="76FCD842" w14:textId="51C1BBE0" w:rsidR="00E0397C" w:rsidRDefault="00E0397C" w:rsidP="00A8462C">
      <w:pPr>
        <w:rPr>
          <w:rStyle w:val="Important"/>
          <w:b w:val="0"/>
          <w:color w:val="auto"/>
        </w:rPr>
      </w:pPr>
      <w:r>
        <w:rPr>
          <w:rStyle w:val="Important"/>
          <w:b w:val="0"/>
          <w:color w:val="auto"/>
        </w:rPr>
        <w:t>A short overview document of the Urban Habitat Mapping process is also included as annex 6.</w:t>
      </w:r>
    </w:p>
    <w:p w14:paraId="1ECAA267" w14:textId="55A2508F" w:rsidR="001D643D" w:rsidRDefault="001D643D" w:rsidP="001D643D">
      <w:r>
        <w:t xml:space="preserve">Submitted quotes will need to confirm that they will follow the </w:t>
      </w:r>
      <w:r w:rsidR="6D9DAB46">
        <w:t xml:space="preserve">final amended method, once supplied; </w:t>
      </w:r>
      <w:r>
        <w:t>(subject to</w:t>
      </w:r>
      <w:r w:rsidR="001A396F">
        <w:t xml:space="preserve"> any changes agreed with the project steering group</w:t>
      </w:r>
      <w:r w:rsidR="000205D6">
        <w:t>)</w:t>
      </w:r>
      <w:r>
        <w:t xml:space="preserve"> and that they are able in terms of technical skills and capacity to deliver Urban Habitat </w:t>
      </w:r>
      <w:proofErr w:type="spellStart"/>
      <w:r w:rsidR="00F539A0">
        <w:t>Maps</w:t>
      </w:r>
      <w:r>
        <w:t>for</w:t>
      </w:r>
      <w:proofErr w:type="spellEnd"/>
      <w:r>
        <w:t xml:space="preserve"> the listed locations </w:t>
      </w:r>
      <w:r w:rsidR="007B6BF0">
        <w:t>below</w:t>
      </w:r>
      <w:r>
        <w:t>.</w:t>
      </w:r>
    </w:p>
    <w:p w14:paraId="5EC51EC2" w14:textId="77777777" w:rsidR="001D643D" w:rsidRDefault="001D643D" w:rsidP="001D643D"/>
    <w:p w14:paraId="4B39F468" w14:textId="77777777" w:rsidR="001D643D" w:rsidRPr="001D643D" w:rsidRDefault="001D643D" w:rsidP="001D643D">
      <w:pPr>
        <w:pStyle w:val="Topictitle"/>
        <w:rPr>
          <w:rFonts w:ascii="Arial" w:hAnsi="Arial" w:cs="Arial"/>
        </w:rPr>
      </w:pPr>
      <w:r w:rsidRPr="41F8F3CE">
        <w:rPr>
          <w:rFonts w:ascii="Arial" w:hAnsi="Arial" w:cs="Arial"/>
        </w:rPr>
        <w:t>Timetable.</w:t>
      </w:r>
    </w:p>
    <w:p w14:paraId="09622442" w14:textId="1D1465A5" w:rsidR="001D643D" w:rsidRDefault="001D643D" w:rsidP="001D643D">
      <w:r>
        <w:t xml:space="preserve">The project is anticipated to begin in early </w:t>
      </w:r>
      <w:r w:rsidR="00940C96">
        <w:t xml:space="preserve">July 2025 </w:t>
      </w:r>
      <w:r>
        <w:t>September 202</w:t>
      </w:r>
      <w:r w:rsidR="00E22C7C">
        <w:t>4</w:t>
      </w:r>
      <w:r>
        <w:t xml:space="preserve"> with a target outputs delivery date of </w:t>
      </w:r>
      <w:r w:rsidR="00747071">
        <w:t>27</w:t>
      </w:r>
      <w:r w:rsidR="00747071" w:rsidRPr="00626114">
        <w:rPr>
          <w:vertAlign w:val="superscript"/>
        </w:rPr>
        <w:t>th</w:t>
      </w:r>
      <w:r w:rsidR="00747071">
        <w:t xml:space="preserve"> </w:t>
      </w:r>
      <w:proofErr w:type="gramStart"/>
      <w:r w:rsidR="00747071">
        <w:t>February</w:t>
      </w:r>
      <w:r w:rsidR="3E9872C8">
        <w:t xml:space="preserve"> </w:t>
      </w:r>
      <w:r>
        <w:t xml:space="preserve"> 202</w:t>
      </w:r>
      <w:r w:rsidR="00940C96">
        <w:t>6</w:t>
      </w:r>
      <w:proofErr w:type="gramEnd"/>
      <w:r>
        <w:t>. A detailed timeline is set out in the Request for Quote.</w:t>
      </w:r>
    </w:p>
    <w:p w14:paraId="1515AFBA" w14:textId="77777777" w:rsidR="001D643D" w:rsidRPr="00E0663E" w:rsidRDefault="001D643D" w:rsidP="001D643D"/>
    <w:p w14:paraId="0B1927FE" w14:textId="2C49E637" w:rsidR="004D32D0" w:rsidRDefault="001D643D" w:rsidP="00940C96">
      <w:pPr>
        <w:pStyle w:val="Topictitle"/>
      </w:pPr>
      <w:r w:rsidRPr="001D643D">
        <w:rPr>
          <w:rFonts w:ascii="Arial" w:hAnsi="Arial" w:cs="Arial"/>
        </w:rPr>
        <w:lastRenderedPageBreak/>
        <w:t>Requirement</w:t>
      </w:r>
    </w:p>
    <w:p w14:paraId="45E6BBF0" w14:textId="77777777" w:rsidR="009A13BA" w:rsidRDefault="004D32D0" w:rsidP="004D32D0">
      <w:pPr>
        <w:rPr>
          <w:rStyle w:val="Important"/>
          <w:b w:val="0"/>
          <w:color w:val="auto"/>
        </w:rPr>
      </w:pPr>
      <w:r w:rsidRPr="00AA6DB1">
        <w:rPr>
          <w:rStyle w:val="Important"/>
          <w:b w:val="0"/>
          <w:color w:val="auto"/>
        </w:rPr>
        <w:t xml:space="preserve">The areas </w:t>
      </w:r>
      <w:r w:rsidR="00574ED2">
        <w:rPr>
          <w:rStyle w:val="Important"/>
          <w:b w:val="0"/>
          <w:color w:val="auto"/>
        </w:rPr>
        <w:t xml:space="preserve">of interest for mapping are set out in the two lists below.  There </w:t>
      </w:r>
      <w:proofErr w:type="gramStart"/>
      <w:r w:rsidR="00574ED2">
        <w:rPr>
          <w:rStyle w:val="Important"/>
          <w:b w:val="0"/>
          <w:color w:val="auto"/>
        </w:rPr>
        <w:t>are</w:t>
      </w:r>
      <w:proofErr w:type="gramEnd"/>
      <w:r w:rsidR="00574ED2">
        <w:rPr>
          <w:rStyle w:val="Important"/>
          <w:b w:val="0"/>
          <w:color w:val="auto"/>
        </w:rPr>
        <w:t xml:space="preserve"> a </w:t>
      </w:r>
      <w:r w:rsidR="009A13BA">
        <w:rPr>
          <w:rStyle w:val="Important"/>
          <w:b w:val="0"/>
          <w:color w:val="auto"/>
        </w:rPr>
        <w:t>“Core” set of areas and an “Additional” set.</w:t>
      </w:r>
    </w:p>
    <w:p w14:paraId="14C278DD" w14:textId="6946F5A2" w:rsidR="009A13BA" w:rsidRDefault="009A13BA" w:rsidP="004D32D0">
      <w:pPr>
        <w:rPr>
          <w:rStyle w:val="Important"/>
          <w:b w:val="0"/>
          <w:color w:val="auto"/>
        </w:rPr>
      </w:pPr>
      <w:r>
        <w:rPr>
          <w:rStyle w:val="Important"/>
          <w:b w:val="0"/>
          <w:color w:val="auto"/>
        </w:rPr>
        <w:t>The submitted quote should provide costs for the Core and Additional lists SEPAREATELY</w:t>
      </w:r>
      <w:r w:rsidR="0038177E">
        <w:rPr>
          <w:rStyle w:val="Important"/>
          <w:b w:val="0"/>
          <w:color w:val="auto"/>
        </w:rPr>
        <w:t xml:space="preserve"> and for each listed location with a given specific cost</w:t>
      </w:r>
    </w:p>
    <w:p w14:paraId="1A604980" w14:textId="205D083E" w:rsidR="00F443BE" w:rsidRPr="00B049B3" w:rsidRDefault="00F443BE" w:rsidP="004D32D0">
      <w:pPr>
        <w:rPr>
          <w:rStyle w:val="Important"/>
          <w:bCs/>
          <w:color w:val="auto"/>
        </w:rPr>
      </w:pPr>
      <w:r w:rsidRPr="00B049B3">
        <w:rPr>
          <w:rStyle w:val="Important"/>
          <w:bCs/>
          <w:color w:val="auto"/>
        </w:rPr>
        <w:t>Defining the Areas of Interest.</w:t>
      </w:r>
    </w:p>
    <w:p w14:paraId="2E7927B0" w14:textId="6AE3E8BB" w:rsidR="00F443BE" w:rsidRDefault="00F443BE" w:rsidP="004D32D0">
      <w:pPr>
        <w:rPr>
          <w:rStyle w:val="Important"/>
          <w:b w:val="0"/>
          <w:color w:val="auto"/>
        </w:rPr>
      </w:pPr>
      <w:r w:rsidRPr="41F8F3CE">
        <w:rPr>
          <w:rStyle w:val="Important"/>
          <w:b w:val="0"/>
          <w:color w:val="auto"/>
        </w:rPr>
        <w:t>A location name is given for each Area of Interest that identifies the main urban area of interest.</w:t>
      </w:r>
    </w:p>
    <w:p w14:paraId="0D865680" w14:textId="4CE3F5D7" w:rsidR="28816B26" w:rsidRDefault="28816B26" w:rsidP="291442E9">
      <w:pPr>
        <w:rPr>
          <w:rStyle w:val="Important"/>
          <w:b w:val="0"/>
          <w:color w:val="auto"/>
        </w:rPr>
      </w:pPr>
      <w:r w:rsidRPr="41F8F3CE">
        <w:rPr>
          <w:rStyle w:val="Important"/>
          <w:b w:val="0"/>
          <w:color w:val="auto"/>
        </w:rPr>
        <w:t>Shape files for the Areas of Interest are provided with the Request for Quate documentation.</w:t>
      </w:r>
    </w:p>
    <w:p w14:paraId="2931829E" w14:textId="6DB960E7" w:rsidR="00F443BE" w:rsidRDefault="00D457E0" w:rsidP="004D32D0">
      <w:pPr>
        <w:rPr>
          <w:rStyle w:val="Important"/>
          <w:b w:val="0"/>
          <w:color w:val="auto"/>
        </w:rPr>
      </w:pPr>
      <w:r w:rsidRPr="41F8F3CE">
        <w:rPr>
          <w:rStyle w:val="Important"/>
          <w:b w:val="0"/>
          <w:color w:val="auto"/>
        </w:rPr>
        <w:t>The</w:t>
      </w:r>
      <w:r w:rsidR="248BD3FF" w:rsidRPr="41F8F3CE">
        <w:rPr>
          <w:rStyle w:val="Important"/>
          <w:b w:val="0"/>
          <w:color w:val="auto"/>
        </w:rPr>
        <w:t xml:space="preserve"> areas have been determined by</w:t>
      </w:r>
      <w:r w:rsidRPr="41F8F3CE">
        <w:rPr>
          <w:rStyle w:val="Important"/>
          <w:b w:val="0"/>
          <w:color w:val="auto"/>
        </w:rPr>
        <w:t xml:space="preserve"> </w:t>
      </w:r>
      <w:r w:rsidR="006627E0" w:rsidRPr="41F8F3CE">
        <w:rPr>
          <w:rStyle w:val="Important"/>
          <w:b w:val="0"/>
          <w:color w:val="auto"/>
        </w:rPr>
        <w:t xml:space="preserve">combining all the </w:t>
      </w:r>
      <w:proofErr w:type="gramStart"/>
      <w:r w:rsidR="006627E0" w:rsidRPr="41F8F3CE">
        <w:rPr>
          <w:rStyle w:val="Important"/>
          <w:b w:val="0"/>
          <w:color w:val="auto"/>
        </w:rPr>
        <w:t>Built Up</w:t>
      </w:r>
      <w:proofErr w:type="gramEnd"/>
      <w:r w:rsidR="006627E0" w:rsidRPr="41F8F3CE">
        <w:rPr>
          <w:rStyle w:val="Important"/>
          <w:b w:val="0"/>
          <w:color w:val="auto"/>
        </w:rPr>
        <w:t xml:space="preserve"> Areas (from the Ordnance Survey Built Up Areas dataset) for the urban area</w:t>
      </w:r>
      <w:r w:rsidR="00AD41C3" w:rsidRPr="41F8F3CE">
        <w:rPr>
          <w:rStyle w:val="Important"/>
          <w:b w:val="0"/>
          <w:color w:val="auto"/>
        </w:rPr>
        <w:t xml:space="preserve"> that are contiguous and buffering the outer Built Up Area edge by 1 km (to map the urban edge but avoid mapping large rural areas as the method is not designed to work in rural landscapes)</w:t>
      </w:r>
      <w:r w:rsidR="009423D4" w:rsidRPr="41F8F3CE">
        <w:rPr>
          <w:rStyle w:val="Important"/>
          <w:b w:val="0"/>
          <w:color w:val="auto"/>
        </w:rPr>
        <w:t>.</w:t>
      </w:r>
    </w:p>
    <w:p w14:paraId="3937765C" w14:textId="405DE417" w:rsidR="009423D4" w:rsidRDefault="009423D4" w:rsidP="004D32D0">
      <w:pPr>
        <w:rPr>
          <w:rStyle w:val="Important"/>
          <w:b w:val="0"/>
          <w:color w:val="auto"/>
        </w:rPr>
      </w:pPr>
      <w:r w:rsidRPr="6BC577AB">
        <w:rPr>
          <w:rStyle w:val="Important"/>
          <w:b w:val="0"/>
          <w:color w:val="auto"/>
        </w:rPr>
        <w:t xml:space="preserve">Any satellite Built Up Areas that appear within or partially within the main 1 km buffer </w:t>
      </w:r>
      <w:r w:rsidR="43ED4F3B" w:rsidRPr="6BC577AB">
        <w:rPr>
          <w:rStyle w:val="Important"/>
          <w:b w:val="0"/>
          <w:color w:val="auto"/>
        </w:rPr>
        <w:t xml:space="preserve">have been </w:t>
      </w:r>
      <w:r w:rsidRPr="6BC577AB">
        <w:rPr>
          <w:rStyle w:val="Important"/>
          <w:b w:val="0"/>
          <w:color w:val="auto"/>
        </w:rPr>
        <w:t xml:space="preserve">buffered themselves and mapped in whole as part of the </w:t>
      </w:r>
      <w:r w:rsidR="00A62411" w:rsidRPr="6BC577AB">
        <w:rPr>
          <w:rStyle w:val="Important"/>
          <w:b w:val="0"/>
          <w:color w:val="auto"/>
        </w:rPr>
        <w:t xml:space="preserve">overall </w:t>
      </w:r>
      <w:r w:rsidRPr="6BC577AB">
        <w:rPr>
          <w:rStyle w:val="Important"/>
          <w:b w:val="0"/>
          <w:color w:val="auto"/>
        </w:rPr>
        <w:t>Area of Interest.</w:t>
      </w:r>
    </w:p>
    <w:p w14:paraId="5B97EAB7" w14:textId="3948DAA3" w:rsidR="00A62411" w:rsidRDefault="00A62411" w:rsidP="004D32D0">
      <w:pPr>
        <w:rPr>
          <w:rStyle w:val="Important"/>
          <w:b w:val="0"/>
          <w:color w:val="auto"/>
        </w:rPr>
      </w:pPr>
      <w:r w:rsidRPr="41F8F3CE">
        <w:rPr>
          <w:rStyle w:val="Important"/>
          <w:b w:val="0"/>
          <w:color w:val="auto"/>
        </w:rPr>
        <w:t>The tables below</w:t>
      </w:r>
      <w:r w:rsidR="3FE233DD" w:rsidRPr="41F8F3CE">
        <w:rPr>
          <w:rStyle w:val="Important"/>
          <w:b w:val="0"/>
          <w:color w:val="auto"/>
        </w:rPr>
        <w:t xml:space="preserve"> </w:t>
      </w:r>
      <w:proofErr w:type="gramStart"/>
      <w:r w:rsidRPr="41F8F3CE">
        <w:rPr>
          <w:rStyle w:val="Important"/>
          <w:b w:val="0"/>
          <w:color w:val="auto"/>
        </w:rPr>
        <w:t>list</w:t>
      </w:r>
      <w:r w:rsidR="333363FB" w:rsidRPr="41F8F3CE">
        <w:rPr>
          <w:rStyle w:val="Important"/>
          <w:b w:val="0"/>
          <w:color w:val="auto"/>
        </w:rPr>
        <w:t>s</w:t>
      </w:r>
      <w:proofErr w:type="gramEnd"/>
      <w:r w:rsidRPr="41F8F3CE">
        <w:rPr>
          <w:rStyle w:val="Important"/>
          <w:b w:val="0"/>
          <w:color w:val="auto"/>
        </w:rPr>
        <w:t xml:space="preserve"> the Core and Additional Areas of Interest with some rough estimates on likely size of area in square kilom</w:t>
      </w:r>
      <w:r w:rsidR="007872EC" w:rsidRPr="41F8F3CE">
        <w:rPr>
          <w:rStyle w:val="Important"/>
          <w:b w:val="0"/>
          <w:color w:val="auto"/>
        </w:rPr>
        <w:t xml:space="preserve">etres. These areas aa just a guide and may be different to those </w:t>
      </w:r>
      <w:proofErr w:type="gramStart"/>
      <w:r w:rsidR="007872EC" w:rsidRPr="41F8F3CE">
        <w:rPr>
          <w:rStyle w:val="Important"/>
          <w:b w:val="0"/>
          <w:color w:val="auto"/>
        </w:rPr>
        <w:t>actually mapped</w:t>
      </w:r>
      <w:proofErr w:type="gramEnd"/>
      <w:r w:rsidR="007872EC" w:rsidRPr="41F8F3CE">
        <w:rPr>
          <w:rStyle w:val="Important"/>
          <w:b w:val="0"/>
          <w:color w:val="auto"/>
        </w:rPr>
        <w:t xml:space="preserve"> once the Areas of Interest have been delin</w:t>
      </w:r>
      <w:r w:rsidR="007778EA" w:rsidRPr="41F8F3CE">
        <w:rPr>
          <w:rStyle w:val="Important"/>
          <w:b w:val="0"/>
          <w:color w:val="auto"/>
        </w:rPr>
        <w:t>eated using the approach set out above.  However, the overall size of the areas to be mapped is likely to be near the total area identified</w:t>
      </w:r>
      <w:r w:rsidR="00CE2C9B" w:rsidRPr="41F8F3CE">
        <w:rPr>
          <w:rStyle w:val="Important"/>
          <w:b w:val="0"/>
          <w:color w:val="auto"/>
        </w:rPr>
        <w:t>.</w:t>
      </w:r>
    </w:p>
    <w:p w14:paraId="374FE887" w14:textId="1AE93A87" w:rsidR="006141CB" w:rsidRPr="00800AC9" w:rsidRDefault="006141CB" w:rsidP="0497DF2D">
      <w:pPr>
        <w:rPr>
          <w:rStyle w:val="Important"/>
          <w:color w:val="auto"/>
        </w:rPr>
      </w:pPr>
      <w:r w:rsidRPr="0497DF2D">
        <w:rPr>
          <w:rStyle w:val="Important"/>
          <w:color w:val="auto"/>
        </w:rPr>
        <w:t>Core Areas of Interest.</w:t>
      </w:r>
    </w:p>
    <w:tbl>
      <w:tblPr>
        <w:tblStyle w:val="TableGrid"/>
        <w:tblW w:w="0" w:type="auto"/>
        <w:tblLook w:val="04A0" w:firstRow="1" w:lastRow="0" w:firstColumn="1" w:lastColumn="0" w:noHBand="0" w:noVBand="1"/>
      </w:tblPr>
      <w:tblGrid>
        <w:gridCol w:w="4508"/>
        <w:gridCol w:w="4508"/>
      </w:tblGrid>
      <w:tr w:rsidR="007E7EF2" w14:paraId="11169CAB" w14:textId="77777777" w:rsidTr="20F98C00">
        <w:tc>
          <w:tcPr>
            <w:tcW w:w="4508" w:type="dxa"/>
          </w:tcPr>
          <w:p w14:paraId="12836674" w14:textId="77777777" w:rsidR="007E7EF2" w:rsidRDefault="007E7EF2" w:rsidP="00B15503">
            <w:r>
              <w:t>Area of Interest</w:t>
            </w:r>
          </w:p>
        </w:tc>
        <w:tc>
          <w:tcPr>
            <w:tcW w:w="4508" w:type="dxa"/>
          </w:tcPr>
          <w:p w14:paraId="55FE1FCB" w14:textId="0C9826DA" w:rsidR="007E7EF2" w:rsidRDefault="007A3360" w:rsidP="00B15503">
            <w:r>
              <w:t xml:space="preserve">Area of provided </w:t>
            </w:r>
            <w:proofErr w:type="spellStart"/>
            <w:r w:rsidR="00E02794">
              <w:t>AoI</w:t>
            </w:r>
            <w:proofErr w:type="spellEnd"/>
            <w:r w:rsidR="00E02794">
              <w:t xml:space="preserve"> shapefile.</w:t>
            </w:r>
          </w:p>
        </w:tc>
      </w:tr>
      <w:tr w:rsidR="007E7EF2" w14:paraId="55D90CDF" w14:textId="77777777" w:rsidTr="20F98C00">
        <w:tc>
          <w:tcPr>
            <w:tcW w:w="4508" w:type="dxa"/>
          </w:tcPr>
          <w:p w14:paraId="2B851182" w14:textId="1C5EC6E1" w:rsidR="007E7EF2" w:rsidRDefault="007E7EF2" w:rsidP="00B15503">
            <w:r>
              <w:t xml:space="preserve">Blackpool (and contiguous </w:t>
            </w:r>
            <w:proofErr w:type="gramStart"/>
            <w:r>
              <w:t>Built up</w:t>
            </w:r>
            <w:proofErr w:type="gramEnd"/>
            <w:r>
              <w:t xml:space="preserve"> Areas</w:t>
            </w:r>
            <w:r w:rsidR="000B45C2">
              <w:t xml:space="preserve"> with 1 km buffer</w:t>
            </w:r>
            <w:r>
              <w:t>)</w:t>
            </w:r>
          </w:p>
        </w:tc>
        <w:tc>
          <w:tcPr>
            <w:tcW w:w="4508" w:type="dxa"/>
          </w:tcPr>
          <w:p w14:paraId="2AFD6359" w14:textId="2C32D1CC" w:rsidR="007E7EF2" w:rsidRDefault="007E7EF2" w:rsidP="00B15503">
            <w:r>
              <w:t>1</w:t>
            </w:r>
            <w:r w:rsidR="00B117AE">
              <w:t>37</w:t>
            </w:r>
          </w:p>
        </w:tc>
      </w:tr>
      <w:tr w:rsidR="007E7EF2" w14:paraId="7DA7684A" w14:textId="77777777" w:rsidTr="20F98C00">
        <w:tc>
          <w:tcPr>
            <w:tcW w:w="4508" w:type="dxa"/>
          </w:tcPr>
          <w:p w14:paraId="02CFA20E" w14:textId="63A51A78" w:rsidR="007E7EF2" w:rsidRDefault="007E7EF2" w:rsidP="00B15503">
            <w:r>
              <w:t>Doncaster and Barnsley (Core Built up Areas</w:t>
            </w:r>
            <w:r w:rsidR="006B39C7">
              <w:t xml:space="preserve"> only</w:t>
            </w:r>
            <w:r w:rsidR="000B45C2">
              <w:t xml:space="preserve"> with 1 km buffer</w:t>
            </w:r>
            <w:r>
              <w:t>)</w:t>
            </w:r>
          </w:p>
        </w:tc>
        <w:tc>
          <w:tcPr>
            <w:tcW w:w="4508" w:type="dxa"/>
          </w:tcPr>
          <w:p w14:paraId="72889ACC" w14:textId="05340206" w:rsidR="007E7EF2" w:rsidRDefault="00B117AE" w:rsidP="00B15503">
            <w:r>
              <w:t>64</w:t>
            </w:r>
            <w:r w:rsidR="007E7EF2">
              <w:t xml:space="preserve"> and </w:t>
            </w:r>
            <w:r>
              <w:t>52</w:t>
            </w:r>
            <w:r w:rsidR="007E7EF2">
              <w:t xml:space="preserve"> (</w:t>
            </w:r>
            <w:r w:rsidR="00BB5E99">
              <w:t>116</w:t>
            </w:r>
            <w:r w:rsidR="007E7EF2">
              <w:t>)</w:t>
            </w:r>
          </w:p>
        </w:tc>
      </w:tr>
      <w:tr w:rsidR="007E7EF2" w14:paraId="64B801A1" w14:textId="77777777" w:rsidTr="20F98C00">
        <w:tc>
          <w:tcPr>
            <w:tcW w:w="4508" w:type="dxa"/>
          </w:tcPr>
          <w:p w14:paraId="1A58CA1C" w14:textId="2B24B132" w:rsidR="007E7EF2" w:rsidRDefault="007E7EF2" w:rsidP="00B15503">
            <w:r>
              <w:t>Lincoln (</w:t>
            </w:r>
            <w:r w:rsidR="000B45C2">
              <w:t xml:space="preserve">Contiguous </w:t>
            </w:r>
            <w:proofErr w:type="gramStart"/>
            <w:r w:rsidR="000B45C2">
              <w:t>Built Up</w:t>
            </w:r>
            <w:proofErr w:type="gramEnd"/>
            <w:r w:rsidR="000B45C2">
              <w:t xml:space="preserve"> Areas and </w:t>
            </w:r>
            <w:r>
              <w:t>1 km buffer)</w:t>
            </w:r>
          </w:p>
        </w:tc>
        <w:tc>
          <w:tcPr>
            <w:tcW w:w="4508" w:type="dxa"/>
          </w:tcPr>
          <w:p w14:paraId="5B4E44F3" w14:textId="37DEEFE9" w:rsidR="007E7EF2" w:rsidRDefault="00BB5E99" w:rsidP="00B15503">
            <w:r>
              <w:t>90</w:t>
            </w:r>
          </w:p>
        </w:tc>
      </w:tr>
      <w:tr w:rsidR="007E7EF2" w14:paraId="13324DF1" w14:textId="77777777" w:rsidTr="20F98C00">
        <w:tc>
          <w:tcPr>
            <w:tcW w:w="4508" w:type="dxa"/>
          </w:tcPr>
          <w:p w14:paraId="02237826" w14:textId="0FDDA784" w:rsidR="007E7EF2" w:rsidRDefault="007E7EF2" w:rsidP="00B15503">
            <w:r>
              <w:t>South Midlands Towns (</w:t>
            </w:r>
            <w:r w:rsidR="00D7476E">
              <w:t xml:space="preserve">Core built up areas of </w:t>
            </w:r>
            <w:r>
              <w:t xml:space="preserve">Bedford, Luton and Milton </w:t>
            </w:r>
            <w:r>
              <w:lastRenderedPageBreak/>
              <w:t>Keynes</w:t>
            </w:r>
            <w:r w:rsidR="00D7476E">
              <w:t xml:space="preserve"> with contiguous </w:t>
            </w:r>
            <w:proofErr w:type="gramStart"/>
            <w:r w:rsidR="00D7476E">
              <w:t>Built Up</w:t>
            </w:r>
            <w:proofErr w:type="gramEnd"/>
            <w:r w:rsidR="00D7476E">
              <w:t xml:space="preserve"> Areas and 1 km</w:t>
            </w:r>
            <w:r>
              <w:t xml:space="preserve"> buffer)</w:t>
            </w:r>
          </w:p>
        </w:tc>
        <w:tc>
          <w:tcPr>
            <w:tcW w:w="4508" w:type="dxa"/>
          </w:tcPr>
          <w:p w14:paraId="25C50A8B" w14:textId="4DB44A7B" w:rsidR="007E7EF2" w:rsidRDefault="00AC2019" w:rsidP="00B15503">
            <w:r>
              <w:lastRenderedPageBreak/>
              <w:t xml:space="preserve">71, 107 and 154 = </w:t>
            </w:r>
            <w:r w:rsidR="001C4640">
              <w:t>332</w:t>
            </w:r>
          </w:p>
        </w:tc>
      </w:tr>
      <w:tr w:rsidR="007E7EF2" w14:paraId="18B4F33A" w14:textId="77777777" w:rsidTr="20F98C00">
        <w:tc>
          <w:tcPr>
            <w:tcW w:w="4508" w:type="dxa"/>
          </w:tcPr>
          <w:p w14:paraId="0BE4E00F" w14:textId="77777777" w:rsidR="007E7EF2" w:rsidRDefault="007E7EF2" w:rsidP="00B15503">
            <w:r>
              <w:t xml:space="preserve">Peterborough (and contiguous </w:t>
            </w:r>
            <w:proofErr w:type="gramStart"/>
            <w:r>
              <w:t>Built up</w:t>
            </w:r>
            <w:proofErr w:type="gramEnd"/>
            <w:r>
              <w:t xml:space="preserve"> Areas)</w:t>
            </w:r>
          </w:p>
        </w:tc>
        <w:tc>
          <w:tcPr>
            <w:tcW w:w="4508" w:type="dxa"/>
          </w:tcPr>
          <w:p w14:paraId="66745A31" w14:textId="3B0C6512" w:rsidR="007E7EF2" w:rsidRDefault="001C4640" w:rsidP="00B15503">
            <w:r>
              <w:t>87</w:t>
            </w:r>
          </w:p>
        </w:tc>
      </w:tr>
      <w:tr w:rsidR="007E7EF2" w14:paraId="21BAF80E" w14:textId="77777777" w:rsidTr="20F98C00">
        <w:tc>
          <w:tcPr>
            <w:tcW w:w="4508" w:type="dxa"/>
          </w:tcPr>
          <w:p w14:paraId="70E3C159" w14:textId="7D85589B" w:rsidR="007E7EF2" w:rsidRDefault="007E7EF2" w:rsidP="00B15503">
            <w:r>
              <w:t>Norwich (</w:t>
            </w:r>
            <w:r w:rsidR="00D7476E">
              <w:t>City</w:t>
            </w:r>
            <w:r>
              <w:t xml:space="preserve"> and contiguous </w:t>
            </w:r>
            <w:proofErr w:type="gramStart"/>
            <w:r>
              <w:t>Built up</w:t>
            </w:r>
            <w:proofErr w:type="gramEnd"/>
            <w:r>
              <w:t xml:space="preserve"> Areas)</w:t>
            </w:r>
          </w:p>
        </w:tc>
        <w:tc>
          <w:tcPr>
            <w:tcW w:w="4508" w:type="dxa"/>
          </w:tcPr>
          <w:p w14:paraId="6C7D65E5" w14:textId="555362FE" w:rsidR="007E7EF2" w:rsidRDefault="00823B97" w:rsidP="00B15503">
            <w:r>
              <w:t>94</w:t>
            </w:r>
          </w:p>
        </w:tc>
      </w:tr>
      <w:tr w:rsidR="007E7EF2" w14:paraId="75155D7B" w14:textId="77777777" w:rsidTr="20F98C00">
        <w:tc>
          <w:tcPr>
            <w:tcW w:w="4508" w:type="dxa"/>
          </w:tcPr>
          <w:p w14:paraId="1CCB004A" w14:textId="139A73C3" w:rsidR="007E7EF2" w:rsidRDefault="007E7EF2" w:rsidP="00B15503">
            <w:r>
              <w:t>Reading (</w:t>
            </w:r>
            <w:r w:rsidR="00CF73A5">
              <w:t xml:space="preserve">City and </w:t>
            </w:r>
            <w:r>
              <w:t>1 km buffer)</w:t>
            </w:r>
          </w:p>
        </w:tc>
        <w:tc>
          <w:tcPr>
            <w:tcW w:w="4508" w:type="dxa"/>
          </w:tcPr>
          <w:p w14:paraId="32D6CA23" w14:textId="5E93AD26" w:rsidR="007E7EF2" w:rsidRDefault="00FA5DFE" w:rsidP="00B15503">
            <w:r>
              <w:t>90</w:t>
            </w:r>
          </w:p>
        </w:tc>
      </w:tr>
      <w:tr w:rsidR="007E7EF2" w14:paraId="6413D2EB" w14:textId="77777777" w:rsidTr="20F98C00">
        <w:tc>
          <w:tcPr>
            <w:tcW w:w="4508" w:type="dxa"/>
          </w:tcPr>
          <w:p w14:paraId="14B2E73E" w14:textId="301FB5DF" w:rsidR="007E7EF2" w:rsidRDefault="007E7EF2" w:rsidP="00B15503">
            <w:r>
              <w:t>Thanet (Birchington, Westgate, Margate, Ramsgate and Broadstairs) (</w:t>
            </w:r>
            <w:r w:rsidR="00CF73A5">
              <w:t xml:space="preserve">Administrative area and </w:t>
            </w:r>
            <w:r>
              <w:t>1km buffer)</w:t>
            </w:r>
          </w:p>
        </w:tc>
        <w:tc>
          <w:tcPr>
            <w:tcW w:w="4508" w:type="dxa"/>
          </w:tcPr>
          <w:p w14:paraId="2E5DEB2C" w14:textId="04D4824C" w:rsidR="007E7EF2" w:rsidRDefault="00FA5DFE" w:rsidP="00B15503">
            <w:r>
              <w:t>163</w:t>
            </w:r>
          </w:p>
        </w:tc>
      </w:tr>
      <w:tr w:rsidR="007E7EF2" w14:paraId="23F6ED67" w14:textId="77777777" w:rsidTr="20F98C00">
        <w:tc>
          <w:tcPr>
            <w:tcW w:w="4508" w:type="dxa"/>
          </w:tcPr>
          <w:p w14:paraId="678F7CB3" w14:textId="2F351C4D" w:rsidR="007E7EF2" w:rsidRDefault="007E7EF2" w:rsidP="00B15503">
            <w:r>
              <w:t>Brighton and Hove (administrative area</w:t>
            </w:r>
            <w:r w:rsidR="00A77C4A">
              <w:t xml:space="preserve"> and 1 km buffer</w:t>
            </w:r>
            <w:r>
              <w:t>)</w:t>
            </w:r>
          </w:p>
        </w:tc>
        <w:tc>
          <w:tcPr>
            <w:tcW w:w="4508" w:type="dxa"/>
          </w:tcPr>
          <w:p w14:paraId="06AFDE7C" w14:textId="6A23646A" w:rsidR="007E7EF2" w:rsidRDefault="001F5573" w:rsidP="00B15503">
            <w:r>
              <w:t>139</w:t>
            </w:r>
          </w:p>
        </w:tc>
      </w:tr>
      <w:tr w:rsidR="007E7EF2" w14:paraId="2351E12E" w14:textId="77777777" w:rsidTr="20F98C00">
        <w:tc>
          <w:tcPr>
            <w:tcW w:w="4508" w:type="dxa"/>
          </w:tcPr>
          <w:p w14:paraId="52FE3E4A" w14:textId="6A8672AD" w:rsidR="007E7EF2" w:rsidRDefault="007E7EF2" w:rsidP="00B15503">
            <w:r>
              <w:t>Southampton and Portsmouth (</w:t>
            </w:r>
            <w:proofErr w:type="spellStart"/>
            <w:r>
              <w:t>inc</w:t>
            </w:r>
            <w:proofErr w:type="spellEnd"/>
            <w:r>
              <w:t xml:space="preserve"> contiguous administrative areas</w:t>
            </w:r>
            <w:r w:rsidR="00A77C4A">
              <w:t xml:space="preserve"> and 1 km buffer)</w:t>
            </w:r>
          </w:p>
        </w:tc>
        <w:tc>
          <w:tcPr>
            <w:tcW w:w="4508" w:type="dxa"/>
          </w:tcPr>
          <w:p w14:paraId="7EA88DB9" w14:textId="0B25C503" w:rsidR="007E7EF2" w:rsidRDefault="007E7EF2" w:rsidP="00B15503">
            <w:r>
              <w:t>3</w:t>
            </w:r>
            <w:r w:rsidR="002A79CB">
              <w:t>08</w:t>
            </w:r>
          </w:p>
        </w:tc>
      </w:tr>
      <w:tr w:rsidR="007E7EF2" w14:paraId="3C6A5AE8" w14:textId="77777777" w:rsidTr="20F98C00">
        <w:tc>
          <w:tcPr>
            <w:tcW w:w="4508" w:type="dxa"/>
          </w:tcPr>
          <w:p w14:paraId="173855A4" w14:textId="52E4E44E" w:rsidR="007E7EF2" w:rsidRDefault="007E7EF2" w:rsidP="00B15503">
            <w:r>
              <w:t>Bournemouth, Christchurch and Poole</w:t>
            </w:r>
            <w:r w:rsidR="00A77C4A">
              <w:t xml:space="preserve"> (Administrative area and 1 km buffer)</w:t>
            </w:r>
          </w:p>
        </w:tc>
        <w:tc>
          <w:tcPr>
            <w:tcW w:w="4508" w:type="dxa"/>
          </w:tcPr>
          <w:p w14:paraId="673A2355" w14:textId="5866D5D3" w:rsidR="007E7EF2" w:rsidRDefault="002A79CB" w:rsidP="00B15503">
            <w:r>
              <w:t>257</w:t>
            </w:r>
          </w:p>
        </w:tc>
      </w:tr>
      <w:tr w:rsidR="007E7EF2" w14:paraId="10363A67" w14:textId="77777777" w:rsidTr="20F98C00">
        <w:tc>
          <w:tcPr>
            <w:tcW w:w="4508" w:type="dxa"/>
          </w:tcPr>
          <w:p w14:paraId="19F6DADD" w14:textId="78011211" w:rsidR="007E7EF2" w:rsidRDefault="007E7EF2" w:rsidP="00B15503">
            <w:r>
              <w:t>Bristol (</w:t>
            </w:r>
            <w:r w:rsidR="00B2078C">
              <w:t xml:space="preserve">City </w:t>
            </w:r>
            <w:r>
              <w:t xml:space="preserve">and contiguous </w:t>
            </w:r>
            <w:proofErr w:type="gramStart"/>
            <w:r>
              <w:t>Built up</w:t>
            </w:r>
            <w:proofErr w:type="gramEnd"/>
            <w:r>
              <w:t xml:space="preserve"> Areas</w:t>
            </w:r>
            <w:r w:rsidR="00B2078C">
              <w:t xml:space="preserve"> with 1 km buffer</w:t>
            </w:r>
            <w:r>
              <w:t>)</w:t>
            </w:r>
          </w:p>
        </w:tc>
        <w:tc>
          <w:tcPr>
            <w:tcW w:w="4508" w:type="dxa"/>
          </w:tcPr>
          <w:p w14:paraId="2E3707E2" w14:textId="4739152E" w:rsidR="007E7EF2" w:rsidRDefault="007E7EF2" w:rsidP="00B15503">
            <w:r>
              <w:t>2</w:t>
            </w:r>
            <w:r w:rsidR="00CA6F4E">
              <w:t>33</w:t>
            </w:r>
          </w:p>
        </w:tc>
      </w:tr>
      <w:tr w:rsidR="007E7EF2" w14:paraId="0C301B32" w14:textId="77777777" w:rsidTr="20F98C00">
        <w:tc>
          <w:tcPr>
            <w:tcW w:w="4508" w:type="dxa"/>
          </w:tcPr>
          <w:p w14:paraId="0B6B37F8" w14:textId="0E374617" w:rsidR="007E7EF2" w:rsidRDefault="007E7EF2" w:rsidP="00B15503">
            <w:r>
              <w:t>Torbay (Administrative area</w:t>
            </w:r>
            <w:r w:rsidR="00B2078C">
              <w:t xml:space="preserve"> and 1 km buffer</w:t>
            </w:r>
            <w:r>
              <w:t>)</w:t>
            </w:r>
          </w:p>
        </w:tc>
        <w:tc>
          <w:tcPr>
            <w:tcW w:w="4508" w:type="dxa"/>
          </w:tcPr>
          <w:p w14:paraId="2B4EE190" w14:textId="5EFF8702" w:rsidR="007E7EF2" w:rsidRDefault="00CA6F4E" w:rsidP="00B15503">
            <w:r>
              <w:t>170</w:t>
            </w:r>
          </w:p>
        </w:tc>
      </w:tr>
      <w:tr w:rsidR="007E7EF2" w14:paraId="5B7AD02C" w14:textId="77777777" w:rsidTr="20F98C00">
        <w:tc>
          <w:tcPr>
            <w:tcW w:w="4508" w:type="dxa"/>
          </w:tcPr>
          <w:p w14:paraId="2C900463" w14:textId="5D813790" w:rsidR="007E7EF2" w:rsidRDefault="007E7EF2" w:rsidP="00B15503">
            <w:r>
              <w:t>Cornish Towns (</w:t>
            </w:r>
            <w:r w:rsidR="009F69E0">
              <w:t xml:space="preserve">Core urban </w:t>
            </w:r>
            <w:proofErr w:type="gramStart"/>
            <w:r w:rsidR="009F69E0">
              <w:t>areas  of</w:t>
            </w:r>
            <w:proofErr w:type="gramEnd"/>
            <w:r w:rsidR="009F69E0">
              <w:t xml:space="preserve"> </w:t>
            </w:r>
            <w:r>
              <w:t xml:space="preserve">Camborne, Redruth and </w:t>
            </w:r>
            <w:proofErr w:type="spellStart"/>
            <w:r>
              <w:t>Portreat</w:t>
            </w:r>
            <w:proofErr w:type="spellEnd"/>
            <w:r>
              <w:t xml:space="preserve"> / Hayle</w:t>
            </w:r>
            <w:r w:rsidR="009F69E0">
              <w:t xml:space="preserve"> </w:t>
            </w:r>
            <w:r>
              <w:t>with 1 km buffers)</w:t>
            </w:r>
          </w:p>
        </w:tc>
        <w:tc>
          <w:tcPr>
            <w:tcW w:w="4508" w:type="dxa"/>
          </w:tcPr>
          <w:p w14:paraId="2C051EC9" w14:textId="11DC915C" w:rsidR="007E7EF2" w:rsidRDefault="00F47CE6" w:rsidP="00B15503">
            <w:r>
              <w:t>50</w:t>
            </w:r>
            <w:r w:rsidR="009B0897">
              <w:t xml:space="preserve"> (Redruth, Camborne </w:t>
            </w:r>
            <w:r w:rsidR="00D74F40">
              <w:t xml:space="preserve">42, </w:t>
            </w:r>
            <w:r w:rsidR="009B0897">
              <w:t xml:space="preserve">and Portreath </w:t>
            </w:r>
            <w:r w:rsidR="006938C6">
              <w:t>8</w:t>
            </w:r>
            <w:r w:rsidR="009B0897">
              <w:t>)</w:t>
            </w:r>
            <w:r w:rsidR="007E7EF2">
              <w:t>, 1</w:t>
            </w:r>
            <w:r>
              <w:t>7</w:t>
            </w:r>
            <w:r w:rsidR="009F69E0">
              <w:t xml:space="preserve"> (Hayle</w:t>
            </w:r>
            <w:r w:rsidR="009B0897">
              <w:t>)</w:t>
            </w:r>
            <w:r w:rsidR="007E7EF2">
              <w:t>, (</w:t>
            </w:r>
            <w:r w:rsidR="000B45C2">
              <w:t xml:space="preserve">Total = </w:t>
            </w:r>
            <w:r w:rsidR="007E7EF2">
              <w:t>6</w:t>
            </w:r>
            <w:r>
              <w:t>7</w:t>
            </w:r>
            <w:r w:rsidR="007E7EF2">
              <w:t>)</w:t>
            </w:r>
          </w:p>
        </w:tc>
      </w:tr>
      <w:tr w:rsidR="007E7EF2" w14:paraId="16960E28" w14:textId="77777777" w:rsidTr="20F98C00">
        <w:tc>
          <w:tcPr>
            <w:tcW w:w="4508" w:type="dxa"/>
          </w:tcPr>
          <w:p w14:paraId="119108F2" w14:textId="77777777" w:rsidR="007E7EF2" w:rsidRDefault="007E7EF2" w:rsidP="00B15503"/>
        </w:tc>
        <w:tc>
          <w:tcPr>
            <w:tcW w:w="4508" w:type="dxa"/>
          </w:tcPr>
          <w:p w14:paraId="0410E10B" w14:textId="77777777" w:rsidR="007E7EF2" w:rsidRDefault="007E7EF2" w:rsidP="00B15503"/>
        </w:tc>
      </w:tr>
      <w:tr w:rsidR="007E7EF2" w14:paraId="4C4E6D75" w14:textId="77777777" w:rsidTr="20F98C00">
        <w:tc>
          <w:tcPr>
            <w:tcW w:w="4508" w:type="dxa"/>
          </w:tcPr>
          <w:p w14:paraId="15A9DFFD" w14:textId="77777777" w:rsidR="007E7EF2" w:rsidRDefault="007E7EF2" w:rsidP="00B15503">
            <w:r>
              <w:t>Total</w:t>
            </w:r>
          </w:p>
        </w:tc>
        <w:tc>
          <w:tcPr>
            <w:tcW w:w="4508" w:type="dxa"/>
          </w:tcPr>
          <w:p w14:paraId="31029D04" w14:textId="0ECF9ADD" w:rsidR="007E7EF2" w:rsidRDefault="007E7EF2" w:rsidP="00B15503">
            <w:r>
              <w:t>2</w:t>
            </w:r>
            <w:r w:rsidR="00C02519">
              <w:t>283</w:t>
            </w:r>
          </w:p>
        </w:tc>
      </w:tr>
    </w:tbl>
    <w:p w14:paraId="42B89805" w14:textId="77777777" w:rsidR="00CE2C9B" w:rsidRDefault="00CE2C9B" w:rsidP="004D32D0">
      <w:pPr>
        <w:rPr>
          <w:rStyle w:val="Important"/>
          <w:b w:val="0"/>
          <w:color w:val="auto"/>
        </w:rPr>
      </w:pPr>
    </w:p>
    <w:p w14:paraId="3B9C44EE" w14:textId="1AFDCDAF" w:rsidR="00CE2C9B" w:rsidRPr="00800AC9" w:rsidRDefault="003E77D4" w:rsidP="004D32D0">
      <w:pPr>
        <w:rPr>
          <w:rStyle w:val="Important"/>
          <w:bCs/>
          <w:color w:val="auto"/>
        </w:rPr>
      </w:pPr>
      <w:r w:rsidRPr="00800AC9">
        <w:rPr>
          <w:rStyle w:val="Important"/>
          <w:bCs/>
          <w:color w:val="auto"/>
        </w:rPr>
        <w:t>Additional Areas of Interest.</w:t>
      </w:r>
    </w:p>
    <w:tbl>
      <w:tblPr>
        <w:tblStyle w:val="TableGrid"/>
        <w:tblW w:w="0" w:type="auto"/>
        <w:tblLook w:val="04A0" w:firstRow="1" w:lastRow="0" w:firstColumn="1" w:lastColumn="0" w:noHBand="0" w:noVBand="1"/>
      </w:tblPr>
      <w:tblGrid>
        <w:gridCol w:w="4508"/>
        <w:gridCol w:w="4508"/>
      </w:tblGrid>
      <w:tr w:rsidR="00CA316D" w14:paraId="48E1AB48" w14:textId="77777777" w:rsidTr="5EE4DA61">
        <w:tc>
          <w:tcPr>
            <w:tcW w:w="4508" w:type="dxa"/>
          </w:tcPr>
          <w:p w14:paraId="67F5D9DA" w14:textId="3810294D" w:rsidR="00CA316D" w:rsidRDefault="00CA316D" w:rsidP="00B15503">
            <w:r>
              <w:t>Area of Interest</w:t>
            </w:r>
          </w:p>
        </w:tc>
        <w:tc>
          <w:tcPr>
            <w:tcW w:w="4508" w:type="dxa"/>
          </w:tcPr>
          <w:p w14:paraId="5DB376CE" w14:textId="3E127839" w:rsidR="00CA316D" w:rsidRDefault="00C02519" w:rsidP="00B15503">
            <w:r>
              <w:t xml:space="preserve">Extents of </w:t>
            </w:r>
            <w:proofErr w:type="spellStart"/>
            <w:r>
              <w:t>AoI</w:t>
            </w:r>
            <w:proofErr w:type="spellEnd"/>
            <w:r>
              <w:t xml:space="preserve"> in provided </w:t>
            </w:r>
            <w:r w:rsidR="003F3E81">
              <w:t>shapefile (</w:t>
            </w:r>
            <w:proofErr w:type="spellStart"/>
            <w:r w:rsidR="003F3E81">
              <w:t>sqkm</w:t>
            </w:r>
            <w:proofErr w:type="spellEnd"/>
            <w:r w:rsidR="003F3E81">
              <w:t>).</w:t>
            </w:r>
          </w:p>
        </w:tc>
      </w:tr>
      <w:tr w:rsidR="00CA316D" w14:paraId="57DD7CBD" w14:textId="77777777" w:rsidTr="5EE4DA61">
        <w:tc>
          <w:tcPr>
            <w:tcW w:w="4508" w:type="dxa"/>
          </w:tcPr>
          <w:p w14:paraId="1474B8F5" w14:textId="49B38170" w:rsidR="00CA316D" w:rsidRDefault="00CA316D" w:rsidP="00B15503">
            <w:r>
              <w:t>Carlisle (</w:t>
            </w:r>
            <w:r w:rsidR="00790406">
              <w:t xml:space="preserve">Core urban area contiguous </w:t>
            </w:r>
            <w:proofErr w:type="gramStart"/>
            <w:r w:rsidR="00790406">
              <w:t>Built Up</w:t>
            </w:r>
            <w:proofErr w:type="gramEnd"/>
            <w:r w:rsidR="00790406">
              <w:t xml:space="preserve"> Areas with </w:t>
            </w:r>
            <w:r>
              <w:t>1km buffer)</w:t>
            </w:r>
          </w:p>
        </w:tc>
        <w:tc>
          <w:tcPr>
            <w:tcW w:w="4508" w:type="dxa"/>
          </w:tcPr>
          <w:p w14:paraId="5CE853A3" w14:textId="71C704C2" w:rsidR="00CA316D" w:rsidRDefault="003F3E81" w:rsidP="00B15503">
            <w:r>
              <w:t>63</w:t>
            </w:r>
          </w:p>
        </w:tc>
      </w:tr>
      <w:tr w:rsidR="00CA316D" w14:paraId="6F72B99D" w14:textId="77777777" w:rsidTr="5EE4DA61">
        <w:tc>
          <w:tcPr>
            <w:tcW w:w="4508" w:type="dxa"/>
          </w:tcPr>
          <w:p w14:paraId="67074768" w14:textId="06839865" w:rsidR="00CA316D" w:rsidRDefault="00CA316D" w:rsidP="00B15503">
            <w:r>
              <w:lastRenderedPageBreak/>
              <w:t>Preston and Chorley (</w:t>
            </w:r>
            <w:r w:rsidR="00790406">
              <w:t xml:space="preserve">Core urban areas of contiguous </w:t>
            </w:r>
            <w:proofErr w:type="gramStart"/>
            <w:r w:rsidR="00790406">
              <w:t>Built Up</w:t>
            </w:r>
            <w:proofErr w:type="gramEnd"/>
            <w:r w:rsidR="00790406">
              <w:t xml:space="preserve"> Areas with </w:t>
            </w:r>
            <w:r>
              <w:t>1 km buffer)</w:t>
            </w:r>
          </w:p>
        </w:tc>
        <w:tc>
          <w:tcPr>
            <w:tcW w:w="4508" w:type="dxa"/>
          </w:tcPr>
          <w:p w14:paraId="1D4B5E70" w14:textId="3EE1EF37" w:rsidR="00CA316D" w:rsidRDefault="00CA316D" w:rsidP="00B15503">
            <w:r>
              <w:t>1</w:t>
            </w:r>
            <w:r w:rsidR="007A664B">
              <w:t>53</w:t>
            </w:r>
          </w:p>
        </w:tc>
      </w:tr>
      <w:tr w:rsidR="00CA316D" w14:paraId="3B0A25C2" w14:textId="77777777" w:rsidTr="5EE4DA61">
        <w:tc>
          <w:tcPr>
            <w:tcW w:w="4508" w:type="dxa"/>
          </w:tcPr>
          <w:p w14:paraId="1F47AE74" w14:textId="437B9389" w:rsidR="00CA316D" w:rsidRDefault="00CA316D" w:rsidP="00B15503">
            <w:r>
              <w:t>Hull (</w:t>
            </w:r>
            <w:r w:rsidR="008E4BC7">
              <w:t>C</w:t>
            </w:r>
            <w:r>
              <w:t xml:space="preserve">ontiguous </w:t>
            </w:r>
            <w:proofErr w:type="gramStart"/>
            <w:r>
              <w:t>Built up</w:t>
            </w:r>
            <w:proofErr w:type="gramEnd"/>
            <w:r>
              <w:t xml:space="preserve"> Areas</w:t>
            </w:r>
            <w:r w:rsidR="008E4BC7">
              <w:t xml:space="preserve"> with 1 km buffer</w:t>
            </w:r>
            <w:r>
              <w:t>)</w:t>
            </w:r>
          </w:p>
        </w:tc>
        <w:tc>
          <w:tcPr>
            <w:tcW w:w="4508" w:type="dxa"/>
          </w:tcPr>
          <w:p w14:paraId="1BFC59B5" w14:textId="19CF1D56" w:rsidR="00CA316D" w:rsidRDefault="00CA316D" w:rsidP="00B15503">
            <w:r>
              <w:t>1</w:t>
            </w:r>
            <w:r w:rsidR="007A664B">
              <w:t>61</w:t>
            </w:r>
          </w:p>
        </w:tc>
      </w:tr>
      <w:tr w:rsidR="00CA316D" w14:paraId="6C98C60F" w14:textId="77777777" w:rsidTr="5EE4DA61">
        <w:tc>
          <w:tcPr>
            <w:tcW w:w="4508" w:type="dxa"/>
          </w:tcPr>
          <w:p w14:paraId="0F575560" w14:textId="740FDB00" w:rsidR="00CA316D" w:rsidRDefault="00CA316D" w:rsidP="00B15503">
            <w:r>
              <w:t>Scunthorpe and Grimsby (Core Built up Areas</w:t>
            </w:r>
            <w:r w:rsidR="008E4BC7">
              <w:t xml:space="preserve"> of contiguous </w:t>
            </w:r>
            <w:proofErr w:type="gramStart"/>
            <w:r w:rsidR="008E4BC7">
              <w:t>Built Up</w:t>
            </w:r>
            <w:proofErr w:type="gramEnd"/>
            <w:r w:rsidR="008E4BC7">
              <w:t xml:space="preserve"> Areas with 1 km Buffer</w:t>
            </w:r>
            <w:r>
              <w:t>)</w:t>
            </w:r>
          </w:p>
        </w:tc>
        <w:tc>
          <w:tcPr>
            <w:tcW w:w="4508" w:type="dxa"/>
          </w:tcPr>
          <w:p w14:paraId="24730BCF" w14:textId="4F42A07B" w:rsidR="00CA316D" w:rsidRDefault="00050FB2" w:rsidP="00B15503">
            <w:r>
              <w:t>70</w:t>
            </w:r>
            <w:r w:rsidR="00CA316D">
              <w:t xml:space="preserve"> </w:t>
            </w:r>
            <w:r w:rsidR="008E4BC7">
              <w:t xml:space="preserve">(Scunthorpe) </w:t>
            </w:r>
            <w:r w:rsidR="00CA316D">
              <w:t xml:space="preserve">and </w:t>
            </w:r>
            <w:r>
              <w:t>74</w:t>
            </w:r>
            <w:r w:rsidR="00CA316D">
              <w:t xml:space="preserve"> </w:t>
            </w:r>
            <w:r w:rsidR="008E4BC7">
              <w:t xml:space="preserve">(Grimsby) Total = </w:t>
            </w:r>
            <w:r w:rsidR="00CA316D">
              <w:t>1</w:t>
            </w:r>
            <w:r>
              <w:t>44</w:t>
            </w:r>
          </w:p>
        </w:tc>
      </w:tr>
      <w:tr w:rsidR="00CA316D" w14:paraId="3D80E0A7" w14:textId="77777777" w:rsidTr="5EE4DA61">
        <w:tc>
          <w:tcPr>
            <w:tcW w:w="4508" w:type="dxa"/>
          </w:tcPr>
          <w:p w14:paraId="3BF320B1" w14:textId="371CE14B" w:rsidR="00CA316D" w:rsidRDefault="00CA316D" w:rsidP="00B15503">
            <w:r>
              <w:t>Oxford (</w:t>
            </w:r>
            <w:r w:rsidR="00BA1E56">
              <w:t xml:space="preserve">Core city with </w:t>
            </w:r>
            <w:r>
              <w:t xml:space="preserve">contiguous </w:t>
            </w:r>
            <w:proofErr w:type="gramStart"/>
            <w:r>
              <w:t>Built up</w:t>
            </w:r>
            <w:proofErr w:type="gramEnd"/>
            <w:r>
              <w:t xml:space="preserve"> Areas</w:t>
            </w:r>
            <w:r w:rsidR="00BA1E56">
              <w:t xml:space="preserve"> and 1 km buffer)</w:t>
            </w:r>
          </w:p>
        </w:tc>
        <w:tc>
          <w:tcPr>
            <w:tcW w:w="4508" w:type="dxa"/>
          </w:tcPr>
          <w:p w14:paraId="7939E7DC" w14:textId="105202C5" w:rsidR="00CA316D" w:rsidRDefault="00050FB2" w:rsidP="00B15503">
            <w:r>
              <w:t>88</w:t>
            </w:r>
          </w:p>
        </w:tc>
      </w:tr>
      <w:tr w:rsidR="00CA316D" w14:paraId="5E392850" w14:textId="77777777" w:rsidTr="5EE4DA61">
        <w:tc>
          <w:tcPr>
            <w:tcW w:w="4508" w:type="dxa"/>
          </w:tcPr>
          <w:p w14:paraId="143738B8" w14:textId="41303194" w:rsidR="00CA316D" w:rsidRDefault="00CA316D" w:rsidP="00B15503">
            <w:r>
              <w:t>Southend, Castle Point and Basildon (Administrative areas</w:t>
            </w:r>
            <w:r w:rsidR="00800AC9">
              <w:t xml:space="preserve"> with 1 km buffer</w:t>
            </w:r>
            <w:r>
              <w:t>)</w:t>
            </w:r>
          </w:p>
        </w:tc>
        <w:tc>
          <w:tcPr>
            <w:tcW w:w="4508" w:type="dxa"/>
          </w:tcPr>
          <w:p w14:paraId="25879A5A" w14:textId="167C4C33" w:rsidR="00CA316D" w:rsidRDefault="00CA316D" w:rsidP="00B15503">
            <w:r>
              <w:t>2</w:t>
            </w:r>
            <w:r w:rsidR="00CC0990">
              <w:t>42</w:t>
            </w:r>
          </w:p>
        </w:tc>
      </w:tr>
      <w:tr w:rsidR="00CA316D" w14:paraId="18B2F717" w14:textId="77777777" w:rsidTr="5EE4DA61">
        <w:tc>
          <w:tcPr>
            <w:tcW w:w="4508" w:type="dxa"/>
          </w:tcPr>
          <w:p w14:paraId="51CC790D" w14:textId="3ABD0DB8" w:rsidR="00CA316D" w:rsidRDefault="00CA316D" w:rsidP="00B15503">
            <w:r>
              <w:t>Swindon (</w:t>
            </w:r>
            <w:r w:rsidR="00800AC9">
              <w:t xml:space="preserve">Administrative area with </w:t>
            </w:r>
            <w:r>
              <w:t>1 km buffer)</w:t>
            </w:r>
          </w:p>
        </w:tc>
        <w:tc>
          <w:tcPr>
            <w:tcW w:w="4508" w:type="dxa"/>
          </w:tcPr>
          <w:p w14:paraId="2C4CC875" w14:textId="6A8761C8" w:rsidR="00CA316D" w:rsidRDefault="00CC0990" w:rsidP="00B15503">
            <w:r>
              <w:t>316</w:t>
            </w:r>
          </w:p>
        </w:tc>
      </w:tr>
      <w:tr w:rsidR="00CA316D" w14:paraId="08ACAB36" w14:textId="77777777" w:rsidTr="5EE4DA61">
        <w:tc>
          <w:tcPr>
            <w:tcW w:w="4508" w:type="dxa"/>
          </w:tcPr>
          <w:p w14:paraId="24BDE4E1" w14:textId="77777777" w:rsidR="00CA316D" w:rsidRDefault="00CA316D" w:rsidP="00B15503"/>
        </w:tc>
        <w:tc>
          <w:tcPr>
            <w:tcW w:w="4508" w:type="dxa"/>
          </w:tcPr>
          <w:p w14:paraId="24025612" w14:textId="77777777" w:rsidR="00CA316D" w:rsidRDefault="00CA316D" w:rsidP="00B15503"/>
        </w:tc>
      </w:tr>
      <w:tr w:rsidR="00CA316D" w14:paraId="7D99A324" w14:textId="77777777" w:rsidTr="5EE4DA61">
        <w:tc>
          <w:tcPr>
            <w:tcW w:w="4508" w:type="dxa"/>
          </w:tcPr>
          <w:p w14:paraId="6330F2B5" w14:textId="77777777" w:rsidR="00CA316D" w:rsidRDefault="00CA316D" w:rsidP="00B15503">
            <w:r>
              <w:t>Total</w:t>
            </w:r>
          </w:p>
        </w:tc>
        <w:tc>
          <w:tcPr>
            <w:tcW w:w="4508" w:type="dxa"/>
          </w:tcPr>
          <w:p w14:paraId="67DBFD84" w14:textId="51D30F34" w:rsidR="00CA316D" w:rsidRDefault="00507795" w:rsidP="00B15503">
            <w:r>
              <w:t>1167</w:t>
            </w:r>
          </w:p>
        </w:tc>
      </w:tr>
    </w:tbl>
    <w:p w14:paraId="66336F75" w14:textId="2DF45A14" w:rsidR="006141CB" w:rsidRDefault="006141CB" w:rsidP="5422E5C7">
      <w:pPr>
        <w:rPr>
          <w:rStyle w:val="Important"/>
          <w:b w:val="0"/>
          <w:color w:val="auto"/>
        </w:rPr>
      </w:pPr>
    </w:p>
    <w:p w14:paraId="1E2528AB" w14:textId="77777777" w:rsidR="001D643D" w:rsidRPr="001D643D" w:rsidRDefault="001D643D" w:rsidP="001D643D">
      <w:pPr>
        <w:pStyle w:val="Blockheading"/>
        <w:rPr>
          <w:rFonts w:ascii="Arial" w:hAnsi="Arial" w:cs="Arial"/>
        </w:rPr>
      </w:pPr>
      <w:r w:rsidRPr="001D643D">
        <w:rPr>
          <w:rFonts w:ascii="Arial" w:hAnsi="Arial" w:cs="Arial"/>
        </w:rPr>
        <w:t>Commercial software usage.</w:t>
      </w:r>
    </w:p>
    <w:p w14:paraId="307F5388" w14:textId="68EBF480" w:rsidR="0008203E" w:rsidRDefault="001D643D" w:rsidP="001D643D">
      <w:pPr>
        <w:rPr>
          <w:b/>
          <w:bCs/>
        </w:rPr>
      </w:pPr>
      <w:r>
        <w:t xml:space="preserve">Please note that the method requires the use of some commercial software. </w:t>
      </w:r>
      <w:r w:rsidRPr="0063421F">
        <w:rPr>
          <w:b/>
          <w:bCs/>
        </w:rPr>
        <w:t>Costs/licenses associated with the use of these software should be included in the prices as eligible project costs</w:t>
      </w:r>
      <w:r w:rsidR="003925B9">
        <w:rPr>
          <w:b/>
          <w:bCs/>
        </w:rPr>
        <w:t>.</w:t>
      </w:r>
      <w:r w:rsidR="0008203E">
        <w:rPr>
          <w:b/>
          <w:bCs/>
        </w:rPr>
        <w:t xml:space="preserve"> Please cost use of commercial software separately for the Core and Additional Areas.</w:t>
      </w:r>
    </w:p>
    <w:p w14:paraId="1295F3BA" w14:textId="6046C900" w:rsidR="001D643D" w:rsidRDefault="001D643D" w:rsidP="001D643D">
      <w:r>
        <w:t xml:space="preserve">Please see section 2 of the User </w:t>
      </w:r>
      <w:r w:rsidRPr="006073AF">
        <w:rPr>
          <w:color w:val="auto"/>
        </w:rPr>
        <w:t>Guide (</w:t>
      </w:r>
      <w:r w:rsidRPr="006073AF">
        <w:rPr>
          <w:rStyle w:val="Important"/>
          <w:color w:val="auto"/>
        </w:rPr>
        <w:t xml:space="preserve">Annex </w:t>
      </w:r>
      <w:r w:rsidR="00F81CD2">
        <w:rPr>
          <w:rStyle w:val="Important"/>
          <w:color w:val="auto"/>
        </w:rPr>
        <w:t>2</w:t>
      </w:r>
      <w:r w:rsidRPr="006073AF">
        <w:rPr>
          <w:color w:val="auto"/>
        </w:rPr>
        <w:t>) for notes on software requirements.</w:t>
      </w:r>
    </w:p>
    <w:p w14:paraId="1DB3E49D" w14:textId="77777777" w:rsidR="001D643D" w:rsidRDefault="001D643D" w:rsidP="001D643D">
      <w:r>
        <w:t>Costs associated with licenses should be included as part of the project costs and identified clearly in the quote.</w:t>
      </w:r>
    </w:p>
    <w:p w14:paraId="19561DCD" w14:textId="77777777" w:rsidR="001D643D" w:rsidRDefault="001D643D" w:rsidP="001D643D">
      <w:r>
        <w:t xml:space="preserve">The two commercial software requirements </w:t>
      </w:r>
      <w:proofErr w:type="gramStart"/>
      <w:r>
        <w:t>are;</w:t>
      </w:r>
      <w:proofErr w:type="gramEnd"/>
    </w:p>
    <w:p w14:paraId="17C1EEE2" w14:textId="77777777" w:rsidR="001D643D" w:rsidRPr="00EC51F3" w:rsidRDefault="001D643D" w:rsidP="001D643D">
      <w:r w:rsidRPr="00EC51F3">
        <w:t>1</w:t>
      </w:r>
      <w:r>
        <w:t xml:space="preserve">. </w:t>
      </w:r>
      <w:proofErr w:type="spellStart"/>
      <w:r w:rsidRPr="00EC51F3">
        <w:t>LASTools</w:t>
      </w:r>
      <w:proofErr w:type="spellEnd"/>
      <w:r w:rsidRPr="00EC51F3">
        <w:t xml:space="preserve"> [commercial] </w:t>
      </w:r>
    </w:p>
    <w:p w14:paraId="05F60A6E" w14:textId="77777777" w:rsidR="001D643D" w:rsidRDefault="001D643D" w:rsidP="001D643D">
      <w:r w:rsidRPr="00EC51F3">
        <w:t xml:space="preserve">Download: </w:t>
      </w:r>
      <w:hyperlink r:id="rId15" w:history="1">
        <w:r w:rsidRPr="00EC51F3">
          <w:rPr>
            <w:rStyle w:val="Hyperlink"/>
          </w:rPr>
          <w:t>https://rapidlasso.com/lastools/</w:t>
        </w:r>
      </w:hyperlink>
    </w:p>
    <w:p w14:paraId="4AFAC586" w14:textId="77777777" w:rsidR="001D643D" w:rsidRPr="00EC51F3" w:rsidRDefault="001D643D" w:rsidP="001D643D">
      <w:r w:rsidRPr="00EC51F3">
        <w:t xml:space="preserve"> </w:t>
      </w:r>
      <w:proofErr w:type="spellStart"/>
      <w:r w:rsidRPr="00EC51F3">
        <w:t>LASTools</w:t>
      </w:r>
      <w:proofErr w:type="spellEnd"/>
      <w:r w:rsidRPr="00EC51F3">
        <w:t xml:space="preserve"> is used to merge the EA LiDAR tiles into single files. A free version of the software exists for smaller areas, but artefacts are voluntarily introduced at larger scales when used without a commercial license. Any software that allows LAZ tile merging could be used as an alternative. </w:t>
      </w:r>
    </w:p>
    <w:p w14:paraId="11787BED" w14:textId="77777777" w:rsidR="001D643D" w:rsidRPr="00EC51F3" w:rsidRDefault="001D643D" w:rsidP="001D643D">
      <w:r w:rsidRPr="00EC51F3">
        <w:lastRenderedPageBreak/>
        <w:t>2</w:t>
      </w:r>
      <w:r>
        <w:t xml:space="preserve">. </w:t>
      </w:r>
      <w:r w:rsidRPr="00EC51F3">
        <w:t xml:space="preserve">Trimble </w:t>
      </w:r>
      <w:proofErr w:type="spellStart"/>
      <w:r w:rsidRPr="00EC51F3">
        <w:t>eCognition</w:t>
      </w:r>
      <w:proofErr w:type="spellEnd"/>
      <w:r w:rsidRPr="00EC51F3">
        <w:t xml:space="preserve"> 10.3 [commercial] </w:t>
      </w:r>
    </w:p>
    <w:p w14:paraId="5636E932" w14:textId="77777777" w:rsidR="001D643D" w:rsidRDefault="001D643D" w:rsidP="001D643D">
      <w:r w:rsidRPr="00EC51F3">
        <w:t xml:space="preserve">Download: </w:t>
      </w:r>
      <w:hyperlink r:id="rId16" w:history="1">
        <w:r w:rsidRPr="00EC51F3">
          <w:rPr>
            <w:rStyle w:val="Hyperlink"/>
          </w:rPr>
          <w:t>https://geospatial.trimble.com/ecognition-download</w:t>
        </w:r>
      </w:hyperlink>
    </w:p>
    <w:p w14:paraId="139D028D" w14:textId="77777777" w:rsidR="001D643D" w:rsidRPr="00EC51F3" w:rsidRDefault="001D643D" w:rsidP="001D643D">
      <w:r w:rsidRPr="00EC51F3">
        <w:t xml:space="preserve">This is the main software used for the urban habitat and Naturalness mapping </w:t>
      </w:r>
      <w:proofErr w:type="gramStart"/>
      <w:r w:rsidRPr="00EC51F3">
        <w:t>workflow</w:t>
      </w:r>
      <w:proofErr w:type="gramEnd"/>
      <w:r w:rsidRPr="00EC51F3">
        <w:t xml:space="preserve"> and </w:t>
      </w:r>
      <w:r>
        <w:t>we are not aware of any</w:t>
      </w:r>
      <w:r w:rsidRPr="00EC51F3">
        <w:t xml:space="preserve"> alternative </w:t>
      </w:r>
      <w:r>
        <w:t xml:space="preserve">that </w:t>
      </w:r>
      <w:r w:rsidRPr="00EC51F3">
        <w:t xml:space="preserve">is currently available. Licenses need to be purchased, although a free trial version is available for initial testing and training. The official UK provider for Trimble </w:t>
      </w:r>
      <w:proofErr w:type="spellStart"/>
      <w:r w:rsidRPr="00EC51F3">
        <w:t>eCognition</w:t>
      </w:r>
      <w:proofErr w:type="spellEnd"/>
      <w:r w:rsidRPr="00EC51F3">
        <w:t xml:space="preserve"> software licenses is </w:t>
      </w:r>
      <w:proofErr w:type="spellStart"/>
      <w:r w:rsidRPr="00EC51F3">
        <w:t>Korec</w:t>
      </w:r>
      <w:proofErr w:type="spellEnd"/>
      <w:r w:rsidRPr="00EC51F3">
        <w:t xml:space="preserve">: https://www.korecgroup.com/. </w:t>
      </w:r>
    </w:p>
    <w:p w14:paraId="09779778" w14:textId="77777777" w:rsidR="001D643D" w:rsidRDefault="001D643D" w:rsidP="001D643D">
      <w:r w:rsidRPr="00EC51F3">
        <w:t xml:space="preserve">There are two types of </w:t>
      </w:r>
      <w:proofErr w:type="spellStart"/>
      <w:r w:rsidRPr="00EC51F3">
        <w:t>eCognition</w:t>
      </w:r>
      <w:proofErr w:type="spellEnd"/>
      <w:r w:rsidRPr="00EC51F3">
        <w:t xml:space="preserve"> license: Developer and Server. Developer licenses allow ruleset modifications and at least one is required for initial threshold setting. The Server licenses allow tiling of larger areas for more efficient parallel batch processing. It is advised to purchase as many Server licenses as can be supported by the user’s computing power and budget.</w:t>
      </w:r>
    </w:p>
    <w:p w14:paraId="4BFA8B91" w14:textId="77777777" w:rsidR="001D643D" w:rsidRDefault="001D643D" w:rsidP="001D643D">
      <w:proofErr w:type="spellStart"/>
      <w:r w:rsidRPr="00EC51F3">
        <w:t>eCognition</w:t>
      </w:r>
      <w:proofErr w:type="spellEnd"/>
      <w:r w:rsidRPr="00EC51F3">
        <w:t xml:space="preserve"> licenses can be renewed monthly and offer flexibility. Users should consider preparing their datasets and performing initial tests before purchasing Server license for efficient use of the license during the rental period.</w:t>
      </w:r>
    </w:p>
    <w:p w14:paraId="65C9239F" w14:textId="77777777" w:rsidR="001D643D" w:rsidRPr="001D643D" w:rsidRDefault="001D643D" w:rsidP="001D643D">
      <w:pPr>
        <w:pStyle w:val="Blockheading"/>
        <w:rPr>
          <w:rFonts w:ascii="Arial" w:hAnsi="Arial" w:cs="Arial"/>
        </w:rPr>
      </w:pPr>
      <w:r w:rsidRPr="001D643D">
        <w:rPr>
          <w:rFonts w:ascii="Arial" w:hAnsi="Arial" w:cs="Arial"/>
        </w:rPr>
        <w:t>Tasks.</w:t>
      </w:r>
    </w:p>
    <w:p w14:paraId="48AE1C13" w14:textId="773A5C0F" w:rsidR="003779CA" w:rsidRPr="00B56402" w:rsidRDefault="003779CA" w:rsidP="003779CA">
      <w:pPr>
        <w:rPr>
          <w:rStyle w:val="Important"/>
          <w:color w:val="auto"/>
        </w:rPr>
      </w:pPr>
      <w:r w:rsidRPr="00B56402">
        <w:rPr>
          <w:rStyle w:val="Important"/>
          <w:color w:val="auto"/>
        </w:rPr>
        <w:t>Task 1</w:t>
      </w:r>
      <w:r w:rsidR="006B3B34">
        <w:rPr>
          <w:rStyle w:val="Important"/>
          <w:color w:val="auto"/>
        </w:rPr>
        <w:t>a</w:t>
      </w:r>
      <w:r w:rsidRPr="00B56402">
        <w:rPr>
          <w:rStyle w:val="Important"/>
          <w:color w:val="auto"/>
        </w:rPr>
        <w:t xml:space="preserve"> – Apply agreed amended mapping approach to the listed areas of </w:t>
      </w:r>
      <w:r w:rsidR="00B0221E">
        <w:rPr>
          <w:rStyle w:val="Important"/>
          <w:color w:val="auto"/>
        </w:rPr>
        <w:t>Core Areas of Interest.</w:t>
      </w:r>
    </w:p>
    <w:p w14:paraId="4ED525C1" w14:textId="5796626B" w:rsidR="003779CA" w:rsidRPr="006B3B34" w:rsidRDefault="00B0221E" w:rsidP="003779CA">
      <w:pPr>
        <w:rPr>
          <w:rStyle w:val="Important"/>
          <w:color w:val="auto"/>
        </w:rPr>
      </w:pPr>
      <w:r w:rsidRPr="006B3B34">
        <w:rPr>
          <w:rStyle w:val="Important"/>
          <w:color w:val="auto"/>
        </w:rPr>
        <w:t xml:space="preserve">Task </w:t>
      </w:r>
      <w:r w:rsidR="006B3B34" w:rsidRPr="006B3B34">
        <w:rPr>
          <w:rStyle w:val="Important"/>
          <w:color w:val="auto"/>
        </w:rPr>
        <w:t>1b</w:t>
      </w:r>
      <w:r w:rsidRPr="006B3B34">
        <w:rPr>
          <w:rStyle w:val="Important"/>
          <w:color w:val="auto"/>
        </w:rPr>
        <w:t xml:space="preserve"> – Apply the agreed amended mapping approach to the list of Additional </w:t>
      </w:r>
      <w:r w:rsidR="00175CFF" w:rsidRPr="006B3B34">
        <w:rPr>
          <w:rStyle w:val="Important"/>
          <w:color w:val="auto"/>
        </w:rPr>
        <w:t>Areas of Interest.</w:t>
      </w:r>
    </w:p>
    <w:p w14:paraId="103E2276" w14:textId="6D6E8D5C" w:rsidR="00175CFF" w:rsidRPr="003779CA" w:rsidRDefault="00175CFF" w:rsidP="24A5548F">
      <w:pPr>
        <w:rPr>
          <w:rStyle w:val="Important"/>
          <w:b w:val="0"/>
          <w:color w:val="auto"/>
        </w:rPr>
      </w:pPr>
      <w:r w:rsidRPr="24A5548F">
        <w:rPr>
          <w:rStyle w:val="Important"/>
          <w:b w:val="0"/>
          <w:color w:val="auto"/>
        </w:rPr>
        <w:t xml:space="preserve">Task </w:t>
      </w:r>
      <w:r w:rsidR="006B3B34" w:rsidRPr="24A5548F">
        <w:rPr>
          <w:rStyle w:val="Important"/>
          <w:b w:val="0"/>
          <w:color w:val="auto"/>
        </w:rPr>
        <w:t xml:space="preserve">1b </w:t>
      </w:r>
      <w:r w:rsidRPr="24A5548F">
        <w:rPr>
          <w:rStyle w:val="Important"/>
          <w:b w:val="0"/>
          <w:color w:val="auto"/>
        </w:rPr>
        <w:t>will be subject to confirmation at start of contract and is dependent on a decision once full project costs are known.</w:t>
      </w:r>
    </w:p>
    <w:p w14:paraId="60F5C21F" w14:textId="75C6A5C4" w:rsidR="46E2C455" w:rsidRDefault="46E2C455" w:rsidP="24A5548F">
      <w:pPr>
        <w:spacing w:before="240" w:after="120" w:line="276" w:lineRule="auto"/>
        <w:rPr>
          <w:rStyle w:val="Important"/>
          <w:rFonts w:eastAsia="Arial"/>
          <w:bCs/>
          <w:color w:val="auto"/>
        </w:rPr>
      </w:pPr>
      <w:r w:rsidRPr="24A5548F">
        <w:rPr>
          <w:rStyle w:val="Important"/>
          <w:rFonts w:eastAsia="Arial"/>
          <w:bCs/>
          <w:color w:val="auto"/>
        </w:rPr>
        <w:t xml:space="preserve">Only Urban Habitat Maps will be required as the Naturalness element of the method is still developmental. No Naturalness or Combined Factor Naturalness maps will be </w:t>
      </w:r>
      <w:proofErr w:type="gramStart"/>
      <w:r w:rsidRPr="24A5548F">
        <w:rPr>
          <w:rStyle w:val="Important"/>
          <w:rFonts w:eastAsia="Arial"/>
          <w:bCs/>
          <w:color w:val="auto"/>
        </w:rPr>
        <w:t>required</w:t>
      </w:r>
      <w:proofErr w:type="gramEnd"/>
      <w:r w:rsidRPr="24A5548F">
        <w:rPr>
          <w:rStyle w:val="Important"/>
          <w:rFonts w:eastAsia="Arial"/>
          <w:bCs/>
          <w:color w:val="auto"/>
        </w:rPr>
        <w:t xml:space="preserve"> and this part of the method should be ignored.</w:t>
      </w:r>
    </w:p>
    <w:p w14:paraId="362A5D7C" w14:textId="77777777" w:rsidR="00F44109" w:rsidRDefault="00F44109" w:rsidP="24A5548F">
      <w:pPr>
        <w:spacing w:before="240" w:after="120" w:line="276" w:lineRule="auto"/>
        <w:rPr>
          <w:rFonts w:eastAsia="Arial" w:cs="Arial"/>
          <w:b/>
          <w:bCs/>
          <w:color w:val="auto"/>
        </w:rPr>
      </w:pPr>
    </w:p>
    <w:p w14:paraId="66A5A655" w14:textId="5EF2ED0C" w:rsidR="24A5548F" w:rsidRPr="00655CEC" w:rsidRDefault="006E1D8E" w:rsidP="24A5548F">
      <w:pPr>
        <w:rPr>
          <w:rStyle w:val="Important"/>
          <w:bCs/>
          <w:color w:val="auto"/>
        </w:rPr>
      </w:pPr>
      <w:r w:rsidRPr="00655CEC">
        <w:rPr>
          <w:rStyle w:val="Important"/>
          <w:bCs/>
          <w:color w:val="auto"/>
        </w:rPr>
        <w:t>Task 2</w:t>
      </w:r>
      <w:r w:rsidR="00A111A2" w:rsidRPr="00655CEC">
        <w:rPr>
          <w:rStyle w:val="Important"/>
          <w:bCs/>
          <w:color w:val="auto"/>
        </w:rPr>
        <w:t xml:space="preserve"> – Accuracy Assessments and Data Confidence Overlay Map.</w:t>
      </w:r>
    </w:p>
    <w:p w14:paraId="66312F71" w14:textId="77777777" w:rsidR="00F44109" w:rsidRPr="00C54A55" w:rsidRDefault="00F44109" w:rsidP="00F44109">
      <w:pPr>
        <w:rPr>
          <w:rStyle w:val="Important"/>
          <w:b w:val="0"/>
          <w:bCs/>
          <w:color w:val="auto"/>
        </w:rPr>
      </w:pPr>
      <w:r w:rsidRPr="00C54A55">
        <w:rPr>
          <w:rStyle w:val="Important"/>
          <w:b w:val="0"/>
          <w:bCs/>
          <w:color w:val="auto"/>
        </w:rPr>
        <w:t>Confusion matrices should be used to assess the accuracy of the Detailed Urban Habitat Maps and the pe3rcent accuracies derived should be used to create an overlay for the Detailed Habitat Maps showing confidence level for each APGB date tile.</w:t>
      </w:r>
    </w:p>
    <w:p w14:paraId="3AA7B40E" w14:textId="77777777" w:rsidR="00A111A2" w:rsidRDefault="00A111A2" w:rsidP="24A5548F">
      <w:pPr>
        <w:rPr>
          <w:rStyle w:val="Important"/>
          <w:b w:val="0"/>
          <w:color w:val="auto"/>
        </w:rPr>
      </w:pPr>
    </w:p>
    <w:p w14:paraId="621634DA" w14:textId="1F1D5F63" w:rsidR="003779CA" w:rsidRDefault="003779CA" w:rsidP="003779CA">
      <w:pPr>
        <w:rPr>
          <w:rStyle w:val="Important"/>
          <w:color w:val="auto"/>
        </w:rPr>
      </w:pPr>
      <w:r w:rsidRPr="00B56402">
        <w:rPr>
          <w:rStyle w:val="Important"/>
          <w:color w:val="auto"/>
        </w:rPr>
        <w:t xml:space="preserve">Task </w:t>
      </w:r>
      <w:r w:rsidR="006B3B34">
        <w:rPr>
          <w:rStyle w:val="Important"/>
          <w:color w:val="auto"/>
        </w:rPr>
        <w:t>2</w:t>
      </w:r>
      <w:r w:rsidRPr="00B56402">
        <w:rPr>
          <w:rStyle w:val="Important"/>
          <w:color w:val="auto"/>
        </w:rPr>
        <w:t xml:space="preserve"> – Create a </w:t>
      </w:r>
      <w:r w:rsidR="006B3B34">
        <w:rPr>
          <w:rStyle w:val="Important"/>
          <w:color w:val="auto"/>
        </w:rPr>
        <w:t xml:space="preserve">short technical report detailing any issues or problems </w:t>
      </w:r>
      <w:r w:rsidR="00804748">
        <w:rPr>
          <w:rStyle w:val="Important"/>
          <w:color w:val="auto"/>
        </w:rPr>
        <w:t>encountered in data processing to deliver task 1.</w:t>
      </w:r>
    </w:p>
    <w:p w14:paraId="112539EF" w14:textId="10F44B91" w:rsidR="00804748" w:rsidRPr="009237A3" w:rsidRDefault="00804748" w:rsidP="003779CA">
      <w:pPr>
        <w:rPr>
          <w:rStyle w:val="Important"/>
          <w:b w:val="0"/>
          <w:bCs/>
          <w:color w:val="auto"/>
        </w:rPr>
      </w:pPr>
      <w:r w:rsidRPr="009237A3">
        <w:rPr>
          <w:rStyle w:val="Important"/>
          <w:b w:val="0"/>
          <w:bCs/>
          <w:color w:val="auto"/>
        </w:rPr>
        <w:lastRenderedPageBreak/>
        <w:t xml:space="preserve">Issues will be any minor amendments that were required due to </w:t>
      </w:r>
      <w:r w:rsidR="003E6FD0">
        <w:rPr>
          <w:rStyle w:val="Important"/>
          <w:b w:val="0"/>
          <w:bCs/>
          <w:color w:val="auto"/>
        </w:rPr>
        <w:t xml:space="preserve">new </w:t>
      </w:r>
      <w:r w:rsidRPr="009237A3">
        <w:rPr>
          <w:rStyle w:val="Important"/>
          <w:b w:val="0"/>
          <w:bCs/>
          <w:color w:val="auto"/>
        </w:rPr>
        <w:t>situations or circumstances that required some modification to the overall mapping method.</w:t>
      </w:r>
    </w:p>
    <w:p w14:paraId="1BA3C8C6" w14:textId="61EDC5F0" w:rsidR="00804748" w:rsidRPr="009237A3" w:rsidRDefault="00804748" w:rsidP="003779CA">
      <w:pPr>
        <w:rPr>
          <w:rStyle w:val="Important"/>
          <w:b w:val="0"/>
          <w:bCs/>
          <w:color w:val="auto"/>
        </w:rPr>
      </w:pPr>
      <w:r w:rsidRPr="009237A3">
        <w:rPr>
          <w:rStyle w:val="Important"/>
          <w:b w:val="0"/>
          <w:bCs/>
          <w:color w:val="auto"/>
        </w:rPr>
        <w:t xml:space="preserve">Problems are any events that </w:t>
      </w:r>
      <w:r w:rsidR="00CB1A4D" w:rsidRPr="009237A3">
        <w:rPr>
          <w:rStyle w:val="Important"/>
          <w:b w:val="0"/>
          <w:bCs/>
          <w:color w:val="auto"/>
        </w:rPr>
        <w:t xml:space="preserve">created processing problems (relating to issues within the data etc) that were encountered during processing and record outcomes either as steps taken to resolve or </w:t>
      </w:r>
      <w:r w:rsidR="009237A3" w:rsidRPr="009237A3">
        <w:rPr>
          <w:rStyle w:val="Important"/>
          <w:b w:val="0"/>
          <w:bCs/>
          <w:color w:val="auto"/>
        </w:rPr>
        <w:t>remaining problems that could not be resolved and which data / date tiles are known to be affected.</w:t>
      </w:r>
    </w:p>
    <w:p w14:paraId="78FF5F14" w14:textId="0208DF3E" w:rsidR="0063421F" w:rsidRPr="00712698" w:rsidRDefault="003779CA" w:rsidP="41F8F3CE">
      <w:pPr>
        <w:rPr>
          <w:b/>
          <w:bCs/>
        </w:rPr>
      </w:pPr>
      <w:r w:rsidRPr="41F8F3CE">
        <w:rPr>
          <w:b/>
          <w:bCs/>
        </w:rPr>
        <w:t>Outputs.</w:t>
      </w:r>
    </w:p>
    <w:p w14:paraId="0F2F109F" w14:textId="1306038F" w:rsidR="001D643D" w:rsidRDefault="001D643D" w:rsidP="001D643D">
      <w:r>
        <w:t xml:space="preserve">Deliver the spatial data outputs in GIS format compatible with ArcGIS Pro </w:t>
      </w:r>
      <w:r w:rsidR="00CC233A">
        <w:t xml:space="preserve">(see data requirements </w:t>
      </w:r>
      <w:r w:rsidR="1BF5E63F">
        <w:t>set out in Annex 7</w:t>
      </w:r>
      <w:r w:rsidR="00CC233A">
        <w:t xml:space="preserve">) </w:t>
      </w:r>
      <w:r>
        <w:t xml:space="preserve">for the following </w:t>
      </w:r>
      <w:proofErr w:type="gramStart"/>
      <w:r>
        <w:t>outputs;</w:t>
      </w:r>
      <w:proofErr w:type="gramEnd"/>
    </w:p>
    <w:p w14:paraId="1B9D5B5C" w14:textId="77777777" w:rsidR="001D643D" w:rsidRDefault="001D643D" w:rsidP="001D643D">
      <w:r>
        <w:t>1. Urban Habitat Broad Classification Maps for the listed target areas in tiles aligned with the Ordnance Survey National grid and in 5 x 5 Square kilometres tile sizes.</w:t>
      </w:r>
    </w:p>
    <w:p w14:paraId="7EC6A9B7" w14:textId="05AFD193" w:rsidR="001D643D" w:rsidRDefault="001D643D" w:rsidP="001D643D">
      <w:r>
        <w:t>2. Urban Habitat Detailed Classification Maps for the listed target areas in tiles aligned with the Ordnance Survey National Grid and of 5 x 5 square kilometres (same tile area as for Broad Classification).</w:t>
      </w:r>
    </w:p>
    <w:p w14:paraId="272A2164" w14:textId="0B500CF1" w:rsidR="5850FEE4" w:rsidRDefault="5850FEE4">
      <w:r>
        <w:t>3. Accuracy assessments (Confusion matrices) for each APGB date tile for both the Broad and Detailed Urban Habitat Maps</w:t>
      </w:r>
      <w:r w:rsidR="00BB50EA">
        <w:t xml:space="preserve"> along with Data Confidence Overlay maps for each APGB tile</w:t>
      </w:r>
      <w:r>
        <w:t>.</w:t>
      </w:r>
    </w:p>
    <w:p w14:paraId="59BFFEBE" w14:textId="6FCEB055" w:rsidR="437AF558" w:rsidRDefault="437AF558">
      <w:r>
        <w:t>4. A short technical report detailing any amendments applied or problems encountered</w:t>
      </w:r>
      <w:r w:rsidR="49768510">
        <w:t xml:space="preserve"> during processing.</w:t>
      </w:r>
    </w:p>
    <w:p w14:paraId="5084E455" w14:textId="43B2804A" w:rsidR="001D643D" w:rsidRPr="001D643D" w:rsidRDefault="5850FEE4" w:rsidP="41F8F3CE">
      <w:pPr>
        <w:rPr>
          <w:rFonts w:cs="Arial"/>
        </w:rPr>
      </w:pPr>
      <w:r>
        <w:t>4</w:t>
      </w:r>
      <w:r w:rsidR="001D643D">
        <w:t xml:space="preserve">. </w:t>
      </w:r>
      <w:r w:rsidR="001D643D" w:rsidRPr="41F8F3CE">
        <w:rPr>
          <w:rFonts w:cs="Arial"/>
        </w:rPr>
        <w:t>Data requirements.</w:t>
      </w:r>
    </w:p>
    <w:p w14:paraId="153865B3" w14:textId="6A2590AD" w:rsidR="001D643D" w:rsidRDefault="001D643D" w:rsidP="001D643D">
      <w:r>
        <w:t xml:space="preserve">Required data inputs are listed in </w:t>
      </w:r>
      <w:r w:rsidRPr="006073AF">
        <w:rPr>
          <w:color w:val="auto"/>
        </w:rPr>
        <w:t xml:space="preserve">Section 3 </w:t>
      </w:r>
      <w:r w:rsidRPr="006073AF">
        <w:rPr>
          <w:rStyle w:val="Important"/>
          <w:color w:val="auto"/>
        </w:rPr>
        <w:t xml:space="preserve">of Annex </w:t>
      </w:r>
      <w:r w:rsidR="008911BA">
        <w:rPr>
          <w:rStyle w:val="Important"/>
          <w:color w:val="auto"/>
        </w:rPr>
        <w:t>2</w:t>
      </w:r>
      <w:r w:rsidRPr="006073AF">
        <w:rPr>
          <w:color w:val="auto"/>
        </w:rPr>
        <w:t xml:space="preserve">.  Please </w:t>
      </w:r>
      <w:r>
        <w:t>note that data that is not Open Government License will be provided to the successful contractor under PSGA Contractor License terms and conditions once the contract is live.</w:t>
      </w:r>
    </w:p>
    <w:p w14:paraId="1D460DC2" w14:textId="097600AB" w:rsidR="00593653" w:rsidRPr="00593653" w:rsidRDefault="00593653" w:rsidP="6FB4D31C">
      <w:pPr>
        <w:pStyle w:val="Blockheading"/>
        <w:rPr>
          <w:rFonts w:ascii="Arial" w:eastAsia="Arial" w:hAnsi="Arial" w:cs="Arial"/>
        </w:rPr>
      </w:pPr>
      <w:r w:rsidRPr="6FB4D31C">
        <w:rPr>
          <w:rFonts w:ascii="Arial" w:hAnsi="Arial" w:cs="Arial"/>
        </w:rPr>
        <w:lastRenderedPageBreak/>
        <w:t>Required data outputs.</w:t>
      </w:r>
      <w:r w:rsidR="17EA547F">
        <w:t xml:space="preserve"> </w:t>
      </w:r>
      <w:r w:rsidR="17EA547F" w:rsidRPr="6FB4D31C">
        <w:rPr>
          <w:rFonts w:ascii="Arial" w:eastAsia="Arial" w:hAnsi="Arial" w:cs="Arial"/>
        </w:rPr>
        <w:t>Data should be provided in accordance with the requir</w:t>
      </w:r>
      <w:r w:rsidR="4FC0E6DF" w:rsidRPr="6FB4D31C">
        <w:rPr>
          <w:rFonts w:ascii="Arial" w:eastAsia="Arial" w:hAnsi="Arial" w:cs="Arial"/>
        </w:rPr>
        <w:t>e</w:t>
      </w:r>
      <w:r w:rsidR="17EA547F" w:rsidRPr="6FB4D31C">
        <w:rPr>
          <w:rFonts w:ascii="Arial" w:eastAsia="Arial" w:hAnsi="Arial" w:cs="Arial"/>
        </w:rPr>
        <w:t>ments set out in the Data Standard (Annex 7).</w:t>
      </w:r>
    </w:p>
    <w:p w14:paraId="00C478AC" w14:textId="77777777" w:rsidR="001D643D" w:rsidRPr="001D643D" w:rsidRDefault="001D643D" w:rsidP="001D643D">
      <w:pPr>
        <w:pStyle w:val="Blockheading"/>
        <w:rPr>
          <w:rFonts w:ascii="Arial" w:hAnsi="Arial" w:cs="Arial"/>
        </w:rPr>
      </w:pPr>
      <w:r w:rsidRPr="001D643D">
        <w:rPr>
          <w:rFonts w:ascii="Arial" w:hAnsi="Arial" w:cs="Arial"/>
        </w:rPr>
        <w:t xml:space="preserve">Sustainability </w:t>
      </w:r>
    </w:p>
    <w:p w14:paraId="0C56139D" w14:textId="77777777" w:rsidR="001D643D" w:rsidRPr="00E41FBF" w:rsidRDefault="001D643D" w:rsidP="001D643D">
      <w:pPr>
        <w:pStyle w:val="Blockheading"/>
        <w:rPr>
          <w:rStyle w:val="Boldtext"/>
        </w:rPr>
      </w:pPr>
      <w:r w:rsidRPr="00E41FBF">
        <w:rPr>
          <w:rStyle w:val="Bold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E41FBF">
        <w:rPr>
          <w:rStyle w:val="Boldtext"/>
        </w:rPr>
        <w:t>25 yr</w:t>
      </w:r>
      <w:proofErr w:type="gramEnd"/>
      <w:r w:rsidRPr="00E41FBF">
        <w:rPr>
          <w:rStyle w:val="Bold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F426A1E" w14:textId="009A8A8F" w:rsidR="001D643D" w:rsidRPr="00C23D6C" w:rsidRDefault="001D643D" w:rsidP="001D643D">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169EDF64" w14:textId="77777777" w:rsidR="00E22C7C" w:rsidRDefault="00E22C7C" w:rsidP="001D643D">
      <w:pPr>
        <w:pStyle w:val="Blockheading"/>
        <w:rPr>
          <w:rFonts w:ascii="Arial" w:hAnsi="Arial" w:cs="Arial"/>
        </w:rPr>
      </w:pPr>
      <w:r w:rsidRPr="6313B503">
        <w:rPr>
          <w:rFonts w:ascii="Arial" w:hAnsi="Arial" w:cs="Arial"/>
        </w:rPr>
        <w:t xml:space="preserve">Outputs and </w:t>
      </w:r>
      <w:r w:rsidR="001D643D" w:rsidRPr="6313B503">
        <w:rPr>
          <w:rFonts w:ascii="Arial" w:hAnsi="Arial" w:cs="Arial"/>
        </w:rPr>
        <w:t>Contract Management</w:t>
      </w:r>
    </w:p>
    <w:p w14:paraId="4E9F62CE" w14:textId="2A0E54F2" w:rsidR="001D643D" w:rsidRDefault="001D643D" w:rsidP="001D643D">
      <w:r>
        <w:t>Martin Moss will be the Natural England Contract Manager for this project.</w:t>
      </w:r>
    </w:p>
    <w:p w14:paraId="7A8357C7" w14:textId="7F375104" w:rsidR="001D643D" w:rsidRDefault="001D643D" w:rsidP="001D643D">
      <w: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14:paraId="57853947" w14:textId="7660EDA6" w:rsidR="005E2FE8" w:rsidRDefault="001D643D">
      <w:r>
        <w:t>All meetings will be online via Teams.</w:t>
      </w:r>
    </w:p>
    <w:sectPr w:rsidR="005E2FE8" w:rsidSect="0044684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69E5" w14:textId="77777777" w:rsidR="00B17336" w:rsidRDefault="00B17336" w:rsidP="00340B58">
      <w:pPr>
        <w:spacing w:after="0" w:line="240" w:lineRule="auto"/>
      </w:pPr>
      <w:r>
        <w:separator/>
      </w:r>
    </w:p>
  </w:endnote>
  <w:endnote w:type="continuationSeparator" w:id="0">
    <w:p w14:paraId="6B9BDFB3" w14:textId="77777777" w:rsidR="00B17336" w:rsidRDefault="00B17336" w:rsidP="00340B58">
      <w:pPr>
        <w:spacing w:after="0" w:line="240" w:lineRule="auto"/>
      </w:pPr>
      <w:r>
        <w:continuationSeparator/>
      </w:r>
    </w:p>
  </w:endnote>
  <w:endnote w:type="continuationNotice" w:id="1">
    <w:p w14:paraId="4F721A65" w14:textId="77777777" w:rsidR="00B17336" w:rsidRDefault="00B17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261" w14:textId="77777777" w:rsidR="0044684B" w:rsidRDefault="00446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0CD6" w14:textId="77777777" w:rsidR="0044684B" w:rsidRDefault="00446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805" w14:textId="07247C71" w:rsidR="0044684B" w:rsidRDefault="0044684B">
    <w:pPr>
      <w:pStyle w:val="Footer"/>
    </w:pPr>
    <w:r>
      <w:rPr>
        <w:noProof/>
      </w:rPr>
      <w:drawing>
        <wp:anchor distT="0" distB="0" distL="114300" distR="114300" simplePos="0" relativeHeight="251658241" behindDoc="1" locked="0" layoutInCell="1" allowOverlap="1" wp14:anchorId="7A6A13A3" wp14:editId="1CE032EB">
          <wp:simplePos x="0" y="0"/>
          <wp:positionH relativeFrom="page">
            <wp:align>left</wp:align>
          </wp:positionH>
          <wp:positionV relativeFrom="margin">
            <wp:posOffset>6897370</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F97B" w14:textId="77777777" w:rsidR="00B17336" w:rsidRDefault="00B17336" w:rsidP="00340B58">
      <w:pPr>
        <w:spacing w:after="0" w:line="240" w:lineRule="auto"/>
      </w:pPr>
      <w:r>
        <w:separator/>
      </w:r>
    </w:p>
  </w:footnote>
  <w:footnote w:type="continuationSeparator" w:id="0">
    <w:p w14:paraId="5C652AC4" w14:textId="77777777" w:rsidR="00B17336" w:rsidRDefault="00B17336" w:rsidP="00340B58">
      <w:pPr>
        <w:spacing w:after="0" w:line="240" w:lineRule="auto"/>
      </w:pPr>
      <w:r>
        <w:continuationSeparator/>
      </w:r>
    </w:p>
  </w:footnote>
  <w:footnote w:type="continuationNotice" w:id="1">
    <w:p w14:paraId="53AC343B" w14:textId="77777777" w:rsidR="00B17336" w:rsidRDefault="00B17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DFE" w14:textId="77777777" w:rsidR="0044684B" w:rsidRDefault="0044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2782" w14:textId="77777777" w:rsidR="0044684B" w:rsidRDefault="00446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3E8B" w14:textId="4BDD0E6C" w:rsidR="0044684B" w:rsidRDefault="0044684B" w:rsidP="0044684B">
    <w:pPr>
      <w:pStyle w:val="Header"/>
      <w:jc w:val="right"/>
    </w:pPr>
    <w:r>
      <w:rPr>
        <w:noProof/>
      </w:rPr>
      <w:drawing>
        <wp:anchor distT="0" distB="0" distL="114300" distR="114300" simplePos="0" relativeHeight="251658240" behindDoc="0" locked="0" layoutInCell="1" allowOverlap="1" wp14:anchorId="7A7F110F" wp14:editId="1371C435">
          <wp:simplePos x="0" y="0"/>
          <wp:positionH relativeFrom="column">
            <wp:posOffset>5039656</wp:posOffset>
          </wp:positionH>
          <wp:positionV relativeFrom="paragraph">
            <wp:posOffset>0</wp:posOffset>
          </wp:positionV>
          <wp:extent cx="1076400" cy="1076400"/>
          <wp:effectExtent l="0" t="0" r="9525" b="9525"/>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10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332A0E97"/>
    <w:multiLevelType w:val="hybridMultilevel"/>
    <w:tmpl w:val="F1B8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466066">
    <w:abstractNumId w:val="0"/>
  </w:num>
  <w:num w:numId="2" w16cid:durableId="31013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3D"/>
    <w:rsid w:val="00011D29"/>
    <w:rsid w:val="000205D6"/>
    <w:rsid w:val="000252CB"/>
    <w:rsid w:val="00050FB2"/>
    <w:rsid w:val="0007785B"/>
    <w:rsid w:val="0008203E"/>
    <w:rsid w:val="000B45C2"/>
    <w:rsid w:val="000C0C9E"/>
    <w:rsid w:val="00120FAF"/>
    <w:rsid w:val="00143938"/>
    <w:rsid w:val="00152089"/>
    <w:rsid w:val="00175CFF"/>
    <w:rsid w:val="00184FEB"/>
    <w:rsid w:val="001A396F"/>
    <w:rsid w:val="001C4640"/>
    <w:rsid w:val="001C4B26"/>
    <w:rsid w:val="001D643D"/>
    <w:rsid w:val="001F0DD9"/>
    <w:rsid w:val="001F5573"/>
    <w:rsid w:val="00203DFE"/>
    <w:rsid w:val="00225A27"/>
    <w:rsid w:val="00242BBD"/>
    <w:rsid w:val="00261589"/>
    <w:rsid w:val="002A79CB"/>
    <w:rsid w:val="00316605"/>
    <w:rsid w:val="00340B58"/>
    <w:rsid w:val="0034482A"/>
    <w:rsid w:val="003463CA"/>
    <w:rsid w:val="003779CA"/>
    <w:rsid w:val="0038177E"/>
    <w:rsid w:val="003925B9"/>
    <w:rsid w:val="003B06C5"/>
    <w:rsid w:val="003C0FFC"/>
    <w:rsid w:val="003C1AE4"/>
    <w:rsid w:val="003C7005"/>
    <w:rsid w:val="003E6FD0"/>
    <w:rsid w:val="003E77D4"/>
    <w:rsid w:val="003F2A2D"/>
    <w:rsid w:val="003F3E81"/>
    <w:rsid w:val="003F4BCE"/>
    <w:rsid w:val="00402E83"/>
    <w:rsid w:val="00423E83"/>
    <w:rsid w:val="00425A69"/>
    <w:rsid w:val="004350B8"/>
    <w:rsid w:val="004435B2"/>
    <w:rsid w:val="0044684B"/>
    <w:rsid w:val="00463933"/>
    <w:rsid w:val="0049306C"/>
    <w:rsid w:val="004A69A0"/>
    <w:rsid w:val="004C5196"/>
    <w:rsid w:val="004D32D0"/>
    <w:rsid w:val="004E74C0"/>
    <w:rsid w:val="00502C85"/>
    <w:rsid w:val="00507795"/>
    <w:rsid w:val="00531409"/>
    <w:rsid w:val="005569EA"/>
    <w:rsid w:val="00574ED2"/>
    <w:rsid w:val="00593653"/>
    <w:rsid w:val="005D0283"/>
    <w:rsid w:val="005D2983"/>
    <w:rsid w:val="005E2FE8"/>
    <w:rsid w:val="00605CAB"/>
    <w:rsid w:val="006073AF"/>
    <w:rsid w:val="006141CB"/>
    <w:rsid w:val="00626114"/>
    <w:rsid w:val="0063421F"/>
    <w:rsid w:val="00641FA6"/>
    <w:rsid w:val="0065000D"/>
    <w:rsid w:val="00655CEC"/>
    <w:rsid w:val="00657A8A"/>
    <w:rsid w:val="006627E0"/>
    <w:rsid w:val="006938C6"/>
    <w:rsid w:val="006A5424"/>
    <w:rsid w:val="006B39C7"/>
    <w:rsid w:val="006B3B34"/>
    <w:rsid w:val="006E1D8E"/>
    <w:rsid w:val="006E2E6B"/>
    <w:rsid w:val="006F5420"/>
    <w:rsid w:val="00712698"/>
    <w:rsid w:val="00721091"/>
    <w:rsid w:val="00747071"/>
    <w:rsid w:val="0075093D"/>
    <w:rsid w:val="00756328"/>
    <w:rsid w:val="00766B5B"/>
    <w:rsid w:val="00771137"/>
    <w:rsid w:val="007778EA"/>
    <w:rsid w:val="00781502"/>
    <w:rsid w:val="007872EC"/>
    <w:rsid w:val="00790406"/>
    <w:rsid w:val="007A3360"/>
    <w:rsid w:val="007A664B"/>
    <w:rsid w:val="007B6BF0"/>
    <w:rsid w:val="007C6483"/>
    <w:rsid w:val="007E7EF2"/>
    <w:rsid w:val="00800AC9"/>
    <w:rsid w:val="00804748"/>
    <w:rsid w:val="00822D39"/>
    <w:rsid w:val="00823B97"/>
    <w:rsid w:val="00855D08"/>
    <w:rsid w:val="008911BA"/>
    <w:rsid w:val="008C6016"/>
    <w:rsid w:val="008E16B6"/>
    <w:rsid w:val="008E4BC7"/>
    <w:rsid w:val="009232F5"/>
    <w:rsid w:val="009237A3"/>
    <w:rsid w:val="00940C96"/>
    <w:rsid w:val="009423D4"/>
    <w:rsid w:val="00950D79"/>
    <w:rsid w:val="009726B3"/>
    <w:rsid w:val="00980CCE"/>
    <w:rsid w:val="00990B52"/>
    <w:rsid w:val="0099303D"/>
    <w:rsid w:val="009A13BA"/>
    <w:rsid w:val="009A7ACD"/>
    <w:rsid w:val="009B0897"/>
    <w:rsid w:val="009D36E3"/>
    <w:rsid w:val="009E34DC"/>
    <w:rsid w:val="009E5D5A"/>
    <w:rsid w:val="009F1AE1"/>
    <w:rsid w:val="009F69E0"/>
    <w:rsid w:val="009F7C34"/>
    <w:rsid w:val="00A111A2"/>
    <w:rsid w:val="00A44432"/>
    <w:rsid w:val="00A5686B"/>
    <w:rsid w:val="00A62411"/>
    <w:rsid w:val="00A64B6E"/>
    <w:rsid w:val="00A77C4A"/>
    <w:rsid w:val="00A8462C"/>
    <w:rsid w:val="00A91E5E"/>
    <w:rsid w:val="00AA6DB1"/>
    <w:rsid w:val="00AA7979"/>
    <w:rsid w:val="00AC2019"/>
    <w:rsid w:val="00AC7469"/>
    <w:rsid w:val="00AD41C3"/>
    <w:rsid w:val="00AE25FD"/>
    <w:rsid w:val="00AE76AE"/>
    <w:rsid w:val="00AF1616"/>
    <w:rsid w:val="00AF56ED"/>
    <w:rsid w:val="00B0221E"/>
    <w:rsid w:val="00B049B3"/>
    <w:rsid w:val="00B117AE"/>
    <w:rsid w:val="00B17336"/>
    <w:rsid w:val="00B1776E"/>
    <w:rsid w:val="00B2078C"/>
    <w:rsid w:val="00B505B9"/>
    <w:rsid w:val="00B56402"/>
    <w:rsid w:val="00B85436"/>
    <w:rsid w:val="00B863A9"/>
    <w:rsid w:val="00BA1E56"/>
    <w:rsid w:val="00BB2E0F"/>
    <w:rsid w:val="00BB50EA"/>
    <w:rsid w:val="00BB51E3"/>
    <w:rsid w:val="00BB5E99"/>
    <w:rsid w:val="00BC3D48"/>
    <w:rsid w:val="00BD4969"/>
    <w:rsid w:val="00C02519"/>
    <w:rsid w:val="00C152AB"/>
    <w:rsid w:val="00C22138"/>
    <w:rsid w:val="00C7612C"/>
    <w:rsid w:val="00C777F7"/>
    <w:rsid w:val="00CA316D"/>
    <w:rsid w:val="00CA6F4E"/>
    <w:rsid w:val="00CB1A4D"/>
    <w:rsid w:val="00CC0990"/>
    <w:rsid w:val="00CC233A"/>
    <w:rsid w:val="00CE2C9B"/>
    <w:rsid w:val="00CF73A5"/>
    <w:rsid w:val="00D07EB2"/>
    <w:rsid w:val="00D15909"/>
    <w:rsid w:val="00D457E0"/>
    <w:rsid w:val="00D47D86"/>
    <w:rsid w:val="00D50A61"/>
    <w:rsid w:val="00D55DF3"/>
    <w:rsid w:val="00D74470"/>
    <w:rsid w:val="00D7476E"/>
    <w:rsid w:val="00D74F40"/>
    <w:rsid w:val="00DC2924"/>
    <w:rsid w:val="00E02794"/>
    <w:rsid w:val="00E0397C"/>
    <w:rsid w:val="00E11EA4"/>
    <w:rsid w:val="00E22C7C"/>
    <w:rsid w:val="00E817EB"/>
    <w:rsid w:val="00E84B07"/>
    <w:rsid w:val="00E85D5C"/>
    <w:rsid w:val="00E87158"/>
    <w:rsid w:val="00EC53DF"/>
    <w:rsid w:val="00ED5E0C"/>
    <w:rsid w:val="00EE6FB3"/>
    <w:rsid w:val="00EF5712"/>
    <w:rsid w:val="00EF702B"/>
    <w:rsid w:val="00F04F12"/>
    <w:rsid w:val="00F31D05"/>
    <w:rsid w:val="00F40040"/>
    <w:rsid w:val="00F44109"/>
    <w:rsid w:val="00F443BE"/>
    <w:rsid w:val="00F47CE6"/>
    <w:rsid w:val="00F539A0"/>
    <w:rsid w:val="00F728AB"/>
    <w:rsid w:val="00F81CD2"/>
    <w:rsid w:val="00FA5DFE"/>
    <w:rsid w:val="00FA65BC"/>
    <w:rsid w:val="00FD3027"/>
    <w:rsid w:val="0360B20D"/>
    <w:rsid w:val="0497DF2D"/>
    <w:rsid w:val="08B0B19E"/>
    <w:rsid w:val="0EC1A9CE"/>
    <w:rsid w:val="0F28101C"/>
    <w:rsid w:val="0F884679"/>
    <w:rsid w:val="178B0B5F"/>
    <w:rsid w:val="17EA547F"/>
    <w:rsid w:val="1BF5E63F"/>
    <w:rsid w:val="1D8A752D"/>
    <w:rsid w:val="1F716EB0"/>
    <w:rsid w:val="20F98C00"/>
    <w:rsid w:val="248BD3FF"/>
    <w:rsid w:val="24A5548F"/>
    <w:rsid w:val="28816B26"/>
    <w:rsid w:val="291442E9"/>
    <w:rsid w:val="2C23665C"/>
    <w:rsid w:val="2E5918AD"/>
    <w:rsid w:val="2E8A75E1"/>
    <w:rsid w:val="2EABE7E9"/>
    <w:rsid w:val="333363FB"/>
    <w:rsid w:val="33D95ED4"/>
    <w:rsid w:val="374735DA"/>
    <w:rsid w:val="378BC0C1"/>
    <w:rsid w:val="388BBE35"/>
    <w:rsid w:val="3B42F4EB"/>
    <w:rsid w:val="3C6FC89F"/>
    <w:rsid w:val="3DAA80FD"/>
    <w:rsid w:val="3E9872C8"/>
    <w:rsid w:val="3F71C5F2"/>
    <w:rsid w:val="3FAD1BC0"/>
    <w:rsid w:val="3FE233DD"/>
    <w:rsid w:val="40AAA423"/>
    <w:rsid w:val="410C572B"/>
    <w:rsid w:val="41972E2A"/>
    <w:rsid w:val="41F8F3CE"/>
    <w:rsid w:val="41FF218D"/>
    <w:rsid w:val="437AF558"/>
    <w:rsid w:val="43ED4F3B"/>
    <w:rsid w:val="4455607D"/>
    <w:rsid w:val="46E2C455"/>
    <w:rsid w:val="493942D7"/>
    <w:rsid w:val="49768510"/>
    <w:rsid w:val="49B011CA"/>
    <w:rsid w:val="4EB9D6B2"/>
    <w:rsid w:val="4FC0E6DF"/>
    <w:rsid w:val="51A74097"/>
    <w:rsid w:val="52E2BF2E"/>
    <w:rsid w:val="530A53B7"/>
    <w:rsid w:val="53285311"/>
    <w:rsid w:val="5422E5C7"/>
    <w:rsid w:val="543AAF11"/>
    <w:rsid w:val="54EFD3F7"/>
    <w:rsid w:val="55D0D534"/>
    <w:rsid w:val="5850FEE4"/>
    <w:rsid w:val="59E82199"/>
    <w:rsid w:val="5B381B72"/>
    <w:rsid w:val="5BBBF5DC"/>
    <w:rsid w:val="5EE4DA61"/>
    <w:rsid w:val="6313B503"/>
    <w:rsid w:val="640CFA70"/>
    <w:rsid w:val="671658B0"/>
    <w:rsid w:val="6A509547"/>
    <w:rsid w:val="6BB67DF1"/>
    <w:rsid w:val="6BC577AB"/>
    <w:rsid w:val="6D70A8BF"/>
    <w:rsid w:val="6D9DAB46"/>
    <w:rsid w:val="6EF6F61C"/>
    <w:rsid w:val="6FB4D31C"/>
    <w:rsid w:val="726E5EE9"/>
    <w:rsid w:val="785E84F1"/>
    <w:rsid w:val="7A56F632"/>
    <w:rsid w:val="7D500000"/>
    <w:rsid w:val="7E030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4CEE"/>
  <w15:chartTrackingRefBased/>
  <w15:docId w15:val="{92F3FCDB-EF1E-4572-9380-0641EB3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43D"/>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1D643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64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1D643D"/>
    <w:rPr>
      <w:b/>
      <w:bCs/>
      <w:sz w:val="32"/>
      <w:szCs w:val="32"/>
    </w:rPr>
  </w:style>
  <w:style w:type="paragraph" w:customStyle="1" w:styleId="Topictitle">
    <w:name w:val="Topic title"/>
    <w:basedOn w:val="Heading3"/>
    <w:next w:val="Normal"/>
    <w:link w:val="TopictitleChar"/>
    <w:qFormat/>
    <w:rsid w:val="001D643D"/>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BlockheadingChar">
    <w:name w:val="Block heading Char"/>
    <w:link w:val="Blockheading"/>
    <w:locked/>
    <w:rsid w:val="001D643D"/>
    <w:rPr>
      <w:rFonts w:eastAsiaTheme="majorEastAsia" w:cstheme="majorBidi"/>
      <w:b/>
      <w:iCs/>
      <w:sz w:val="26"/>
    </w:rPr>
  </w:style>
  <w:style w:type="paragraph" w:customStyle="1" w:styleId="Blockheading">
    <w:name w:val="Block heading"/>
    <w:basedOn w:val="Heading4"/>
    <w:next w:val="Normal"/>
    <w:link w:val="BlockheadingChar"/>
    <w:qFormat/>
    <w:rsid w:val="001D643D"/>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1D643D"/>
    <w:rPr>
      <w:rFonts w:ascii="Arial" w:hAnsi="Arial"/>
      <w:sz w:val="24"/>
    </w:rPr>
  </w:style>
  <w:style w:type="character" w:customStyle="1" w:styleId="BulletText2Char">
    <w:name w:val="Bullet Text 2 Char"/>
    <w:link w:val="BulletText2"/>
    <w:locked/>
    <w:rsid w:val="001D643D"/>
  </w:style>
  <w:style w:type="paragraph" w:customStyle="1" w:styleId="BulletText2">
    <w:name w:val="Bullet Text 2"/>
    <w:basedOn w:val="Normal"/>
    <w:link w:val="BulletText2Char"/>
    <w:qFormat/>
    <w:rsid w:val="001D643D"/>
    <w:pPr>
      <w:numPr>
        <w:numId w:val="1"/>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1D643D"/>
    <w:rPr>
      <w:color w:val="0000FF"/>
      <w:u w:val="single"/>
    </w:rPr>
  </w:style>
  <w:style w:type="character" w:customStyle="1" w:styleId="Boldtext">
    <w:name w:val="Bold text"/>
    <w:uiPriority w:val="1"/>
    <w:qFormat/>
    <w:rsid w:val="001D643D"/>
    <w:rPr>
      <w:rFonts w:ascii="Arial" w:hAnsi="Arial" w:cs="Arial" w:hint="default"/>
      <w:b/>
      <w:bCs w:val="0"/>
      <w:sz w:val="24"/>
    </w:rPr>
  </w:style>
  <w:style w:type="character" w:customStyle="1" w:styleId="Important">
    <w:name w:val="! Important"/>
    <w:uiPriority w:val="1"/>
    <w:qFormat/>
    <w:rsid w:val="001D643D"/>
    <w:rPr>
      <w:rFonts w:ascii="Arial" w:hAnsi="Arial" w:cs="Arial" w:hint="default"/>
      <w:b/>
      <w:bCs w:val="0"/>
      <w:i w:val="0"/>
      <w:iCs w:val="0"/>
      <w:color w:val="D9262E"/>
      <w:sz w:val="24"/>
    </w:rPr>
  </w:style>
  <w:style w:type="character" w:customStyle="1" w:styleId="Heading3Char">
    <w:name w:val="Heading 3 Char"/>
    <w:basedOn w:val="DefaultParagraphFont"/>
    <w:link w:val="Heading3"/>
    <w:uiPriority w:val="9"/>
    <w:semiHidden/>
    <w:rsid w:val="001D64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D643D"/>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34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58"/>
    <w:rPr>
      <w:rFonts w:ascii="Arial" w:hAnsi="Arial"/>
      <w:color w:val="000000" w:themeColor="text1"/>
      <w:sz w:val="24"/>
      <w:szCs w:val="24"/>
    </w:rPr>
  </w:style>
  <w:style w:type="paragraph" w:styleId="Footer">
    <w:name w:val="footer"/>
    <w:basedOn w:val="Normal"/>
    <w:link w:val="FooterChar"/>
    <w:uiPriority w:val="99"/>
    <w:unhideWhenUsed/>
    <w:rsid w:val="0034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58"/>
    <w:rPr>
      <w:rFonts w:ascii="Arial" w:hAnsi="Arial"/>
      <w:color w:val="000000" w:themeColor="text1"/>
      <w:sz w:val="24"/>
      <w:szCs w:val="24"/>
    </w:rPr>
  </w:style>
  <w:style w:type="paragraph" w:styleId="Revision">
    <w:name w:val="Revision"/>
    <w:hidden/>
    <w:uiPriority w:val="99"/>
    <w:semiHidden/>
    <w:rsid w:val="00203DFE"/>
    <w:pPr>
      <w:spacing w:after="0" w:line="240" w:lineRule="auto"/>
    </w:pPr>
    <w:rPr>
      <w:rFonts w:ascii="Arial" w:hAnsi="Arial"/>
      <w:color w:val="000000" w:themeColor="text1"/>
      <w:sz w:val="24"/>
      <w:szCs w:val="24"/>
    </w:rPr>
  </w:style>
  <w:style w:type="table" w:styleId="TableGrid">
    <w:name w:val="Table Grid"/>
    <w:basedOn w:val="TableNormal"/>
    <w:uiPriority w:val="39"/>
    <w:rsid w:val="00E2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8462C"/>
    <w:pPr>
      <w:spacing w:before="240" w:after="120" w:line="276" w:lineRule="auto"/>
      <w:ind w:left="720"/>
      <w:contextualSpacing/>
    </w:pPr>
    <w:rPr>
      <w:rFonts w:eastAsia="Arial" w:cs="Times New Roman"/>
      <w:color w:val="auto"/>
      <w:szCs w:val="22"/>
    </w:rPr>
  </w:style>
  <w:style w:type="character" w:customStyle="1" w:styleId="SubheadingChar">
    <w:name w:val="Sub heading Char"/>
    <w:link w:val="Subheading"/>
    <w:locked/>
    <w:rsid w:val="003779CA"/>
    <w:rPr>
      <w:b/>
      <w:sz w:val="26"/>
      <w:szCs w:val="26"/>
    </w:rPr>
  </w:style>
  <w:style w:type="paragraph" w:customStyle="1" w:styleId="Subheading">
    <w:name w:val="Sub heading"/>
    <w:basedOn w:val="Normal"/>
    <w:link w:val="SubheadingChar"/>
    <w:qFormat/>
    <w:rsid w:val="003779CA"/>
    <w:pPr>
      <w:spacing w:line="276" w:lineRule="auto"/>
    </w:pPr>
    <w:rPr>
      <w:rFonts w:asciiTheme="minorHAnsi" w:hAnsiTheme="minorHAnsi"/>
      <w:b/>
      <w:color w:val="auto"/>
      <w:sz w:val="26"/>
      <w:szCs w:val="26"/>
    </w:rPr>
  </w:style>
  <w:style w:type="character" w:styleId="CommentReference">
    <w:name w:val="annotation reference"/>
    <w:basedOn w:val="DefaultParagraphFont"/>
    <w:uiPriority w:val="99"/>
    <w:semiHidden/>
    <w:unhideWhenUsed/>
    <w:rsid w:val="00DC2924"/>
    <w:rPr>
      <w:sz w:val="16"/>
      <w:szCs w:val="16"/>
    </w:rPr>
  </w:style>
  <w:style w:type="paragraph" w:styleId="CommentText">
    <w:name w:val="annotation text"/>
    <w:basedOn w:val="Normal"/>
    <w:link w:val="CommentTextChar"/>
    <w:uiPriority w:val="99"/>
    <w:unhideWhenUsed/>
    <w:rsid w:val="00DC2924"/>
    <w:pPr>
      <w:spacing w:line="240" w:lineRule="auto"/>
    </w:pPr>
    <w:rPr>
      <w:sz w:val="20"/>
      <w:szCs w:val="20"/>
    </w:rPr>
  </w:style>
  <w:style w:type="character" w:customStyle="1" w:styleId="CommentTextChar">
    <w:name w:val="Comment Text Char"/>
    <w:basedOn w:val="DefaultParagraphFont"/>
    <w:link w:val="CommentText"/>
    <w:uiPriority w:val="99"/>
    <w:rsid w:val="00DC2924"/>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C2924"/>
    <w:rPr>
      <w:b/>
      <w:bCs/>
    </w:rPr>
  </w:style>
  <w:style w:type="character" w:customStyle="1" w:styleId="CommentSubjectChar">
    <w:name w:val="Comment Subject Char"/>
    <w:basedOn w:val="CommentTextChar"/>
    <w:link w:val="CommentSubject"/>
    <w:uiPriority w:val="99"/>
    <w:semiHidden/>
    <w:rsid w:val="00DC2924"/>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2127">
      <w:bodyDiv w:val="1"/>
      <w:marLeft w:val="0"/>
      <w:marRight w:val="0"/>
      <w:marTop w:val="0"/>
      <w:marBottom w:val="0"/>
      <w:divBdr>
        <w:top w:val="none" w:sz="0" w:space="0" w:color="auto"/>
        <w:left w:val="none" w:sz="0" w:space="0" w:color="auto"/>
        <w:bottom w:val="none" w:sz="0" w:space="0" w:color="auto"/>
        <w:right w:val="none" w:sz="0" w:space="0" w:color="auto"/>
      </w:divBdr>
    </w:div>
    <w:div w:id="8125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organisations/natural-england/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ospatial.trimble.com/ecognition-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si.gov.uk/acts/acts2006/ukpga_20060016_en_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apidlasso.com/last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ignatedsites.naturalengland.org.uk/GreenInfrastructure/Map.aspx"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35" ma:contentTypeDescription="Create a new document." ma:contentTypeScope="" ma:versionID="d70ad3f4964bc7ca5a4c60c4b7c0d443">
  <xsd:schema xmlns:xsd="http://www.w3.org/2001/XMLSchema" xmlns:xs="http://www.w3.org/2001/XMLSchema" xmlns:p="http://schemas.microsoft.com/office/2006/metadata/properties" xmlns:ns2="662745e8-e224-48e8-a2e3-254862b8c2f5" xmlns:ns3="dedfcf1f-2de5-42da-89db-7ad95f22089e" xmlns:ns4="e81f44ce-2a7b-4522-9cf8-31d244008906" targetNamespace="http://schemas.microsoft.com/office/2006/metadata/properties" ma:root="true" ma:fieldsID="221c9740f3bd9891fc792552558af12c" ns2:_="" ns3:_="" ns4:_="">
    <xsd:import namespace="662745e8-e224-48e8-a2e3-254862b8c2f5"/>
    <xsd:import namespace="dedfcf1f-2de5-42da-89db-7ad95f22089e"/>
    <xsd:import namespace="e81f44ce-2a7b-4522-9cf8-31d2440089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1.7 - Green Infrastructure - Restricte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e81f44ce-2a7b-4522-9cf8-31d2440089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9D555-B8AA-416B-91AD-EE898216A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dfcf1f-2de5-42da-89db-7ad95f22089e"/>
    <ds:schemaRef ds:uri="e81f44ce-2a7b-4522-9cf8-31d244008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CA165-01B4-49F8-A4DD-466D17C69F28}">
  <ds:schemaRefs>
    <ds:schemaRef ds:uri="Microsoft.SharePoint.Taxonomy.ContentTypeSync"/>
  </ds:schemaRefs>
</ds:datastoreItem>
</file>

<file path=customXml/itemProps3.xml><?xml version="1.0" encoding="utf-8"?>
<ds:datastoreItem xmlns:ds="http://schemas.openxmlformats.org/officeDocument/2006/customXml" ds:itemID="{160682C0-884F-45F8-81FE-0E9B9C281A3B}">
  <ds:schemaRefs>
    <ds:schemaRef ds:uri="http://schemas.microsoft.com/sharepoint/v3/contenttype/forms"/>
  </ds:schemaRefs>
</ds:datastoreItem>
</file>

<file path=customXml/itemProps4.xml><?xml version="1.0" encoding="utf-8"?>
<ds:datastoreItem xmlns:ds="http://schemas.openxmlformats.org/officeDocument/2006/customXml" ds:itemID="{9F53D4C7-5CBB-4291-8B34-037E4C0E0D73}">
  <ds:schemaRefs>
    <ds:schemaRef ds:uri="http://schemas.microsoft.com/office/2006/metadata/properties"/>
    <ds:schemaRef ds:uri="http://schemas.microsoft.com/office/infopath/2007/PartnerControls"/>
    <ds:schemaRef ds:uri="cf83942a-78f8-4660-95fb-6b1a8bd22478"/>
    <ds:schemaRef ds:uri="662745e8-e224-48e8-a2e3-254862b8c2f5"/>
    <ds:schemaRef ds:uri="e81f44ce-2a7b-4522-9cf8-31d2440089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2398</Words>
  <Characters>13670</Characters>
  <Application>Microsoft Office Word</Application>
  <DocSecurity>0</DocSecurity>
  <Lines>113</Lines>
  <Paragraphs>32</Paragraphs>
  <ScaleCrop>false</ScaleCrop>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Hartup, Michael</dc:creator>
  <cp:keywords/>
  <dc:description/>
  <cp:lastModifiedBy>Martin Moss</cp:lastModifiedBy>
  <cp:revision>2</cp:revision>
  <dcterms:created xsi:type="dcterms:W3CDTF">2025-06-05T14:07:00Z</dcterms:created>
  <dcterms:modified xsi:type="dcterms:W3CDTF">2025-06-05T14:07:00Z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11;#Team|ff0485df-0575-416f-802f-e999165821b7</vt:lpwstr>
  </property>
  <property fmtid="{D5CDD505-2E9C-101B-9397-08002B2CF9AE}" pid="6" name="Distribution">
    <vt:lpwstr>15;#Internal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