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39DB4F37" w:rsidR="00C30D6E" w:rsidRDefault="006A3405" w:rsidP="009D6BFB">
      <w:pPr>
        <w:rPr>
          <w:noProof/>
        </w:rPr>
      </w:pPr>
      <w:r>
        <w:rPr>
          <w:noProof/>
        </w:rPr>
        <w:drawing>
          <wp:anchor distT="0" distB="0" distL="114300" distR="114300" simplePos="0" relativeHeight="251658240"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01A36AA">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62A93F7" w:rsidR="00CA4BA2" w:rsidRPr="00B36A4F" w:rsidRDefault="00DB6004" w:rsidP="001A36AA">
            <w:pPr>
              <w:tabs>
                <w:tab w:val="left" w:pos="709"/>
              </w:tabs>
              <w:rPr>
                <w:rFonts w:ascii="Arial" w:hAnsi="Arial" w:cs="Arial"/>
                <w:iCs/>
                <w:sz w:val="18"/>
                <w:szCs w:val="18"/>
              </w:rPr>
            </w:pPr>
            <w:r w:rsidRPr="00B36A4F">
              <w:rPr>
                <w:rFonts w:ascii="Arial" w:hAnsi="Arial" w:cs="Arial"/>
                <w:iCs/>
                <w:sz w:val="18"/>
                <w:szCs w:val="18"/>
              </w:rPr>
              <w:t>To be confirmed</w:t>
            </w:r>
          </w:p>
        </w:tc>
      </w:tr>
      <w:tr w:rsidR="00CA4BA2" w:rsidRPr="00961A47" w14:paraId="360FADB6" w14:textId="77777777" w:rsidTr="001A36AA">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475D43ED" w14:textId="29FED06A" w:rsidR="00A323E8" w:rsidRPr="009366BB" w:rsidRDefault="00D9214F" w:rsidP="001A36AA">
            <w:pPr>
              <w:tabs>
                <w:tab w:val="left" w:pos="709"/>
              </w:tabs>
              <w:rPr>
                <w:rFonts w:ascii="Arial" w:hAnsi="Arial" w:cs="Arial"/>
                <w:iCs/>
                <w:sz w:val="18"/>
                <w:szCs w:val="18"/>
              </w:rPr>
            </w:pPr>
            <w:r w:rsidRPr="009366BB">
              <w:rPr>
                <w:rFonts w:ascii="Arial" w:hAnsi="Arial" w:cs="Arial"/>
                <w:iCs/>
                <w:sz w:val="18"/>
                <w:szCs w:val="18"/>
              </w:rPr>
              <w:t xml:space="preserve">Environment </w:t>
            </w:r>
            <w:r w:rsidR="00363615" w:rsidRPr="009366BB">
              <w:rPr>
                <w:rFonts w:ascii="Arial" w:hAnsi="Arial" w:cs="Arial"/>
                <w:iCs/>
                <w:sz w:val="18"/>
                <w:szCs w:val="18"/>
              </w:rPr>
              <w:t>Agency</w:t>
            </w:r>
            <w:r w:rsidR="0036572E" w:rsidRPr="009366BB">
              <w:rPr>
                <w:rFonts w:ascii="Arial" w:hAnsi="Arial" w:cs="Arial"/>
                <w:iCs/>
                <w:sz w:val="18"/>
                <w:szCs w:val="18"/>
              </w:rPr>
              <w:t>,</w:t>
            </w:r>
          </w:p>
          <w:p w14:paraId="4E4CF0A3" w14:textId="77777777" w:rsidR="00A323E8" w:rsidRPr="009366BB" w:rsidRDefault="0036572E" w:rsidP="001A36AA">
            <w:pPr>
              <w:tabs>
                <w:tab w:val="left" w:pos="709"/>
              </w:tabs>
              <w:rPr>
                <w:rFonts w:ascii="Arial" w:hAnsi="Arial" w:cs="Arial"/>
                <w:iCs/>
                <w:sz w:val="18"/>
                <w:szCs w:val="18"/>
              </w:rPr>
            </w:pPr>
            <w:r w:rsidRPr="009366BB">
              <w:rPr>
                <w:rFonts w:ascii="Arial" w:hAnsi="Arial" w:cs="Arial"/>
                <w:iCs/>
                <w:sz w:val="18"/>
                <w:szCs w:val="18"/>
              </w:rPr>
              <w:t xml:space="preserve">Horizon House, </w:t>
            </w:r>
          </w:p>
          <w:p w14:paraId="271A4682" w14:textId="301C71F7" w:rsidR="00CA4BA2" w:rsidRPr="00EA529F" w:rsidRDefault="0036572E" w:rsidP="001A36AA">
            <w:pPr>
              <w:tabs>
                <w:tab w:val="left" w:pos="709"/>
              </w:tabs>
              <w:rPr>
                <w:rFonts w:ascii="Arial" w:hAnsi="Arial" w:cs="Arial"/>
                <w:iCs/>
                <w:sz w:val="18"/>
                <w:szCs w:val="18"/>
                <w:highlight w:val="yellow"/>
              </w:rPr>
            </w:pPr>
            <w:r w:rsidRPr="009366BB">
              <w:rPr>
                <w:rFonts w:ascii="Arial" w:hAnsi="Arial" w:cs="Arial"/>
                <w:iCs/>
                <w:sz w:val="18"/>
                <w:szCs w:val="18"/>
              </w:rPr>
              <w:t>Deanery Road</w:t>
            </w:r>
            <w:r w:rsidRPr="009366BB">
              <w:rPr>
                <w:rFonts w:ascii="Arial" w:hAnsi="Arial" w:cs="Arial"/>
                <w:iCs/>
                <w:sz w:val="18"/>
                <w:szCs w:val="18"/>
              </w:rPr>
              <w:br/>
              <w:t>Bristol</w:t>
            </w:r>
            <w:r w:rsidRPr="009366BB">
              <w:rPr>
                <w:rFonts w:ascii="Arial" w:hAnsi="Arial" w:cs="Arial"/>
                <w:iCs/>
                <w:sz w:val="18"/>
                <w:szCs w:val="18"/>
              </w:rPr>
              <w:br/>
              <w:t>BS1 5AH</w:t>
            </w:r>
          </w:p>
        </w:tc>
      </w:tr>
      <w:tr w:rsidR="00CA4BA2" w:rsidRPr="00961A47" w14:paraId="3C3EA26A" w14:textId="77777777" w:rsidTr="001A36AA">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2ECDC1F0" w14:textId="77777777" w:rsidR="002A6CE8" w:rsidRPr="00B46D37" w:rsidRDefault="002A6CE8" w:rsidP="001A36AA">
            <w:pPr>
              <w:tabs>
                <w:tab w:val="left" w:pos="709"/>
              </w:tabs>
              <w:rPr>
                <w:rFonts w:ascii="Arial" w:hAnsi="Arial" w:cs="Arial"/>
                <w:i/>
                <w:sz w:val="18"/>
                <w:szCs w:val="18"/>
                <w:highlight w:val="yellow"/>
              </w:rPr>
            </w:pPr>
          </w:p>
          <w:p w14:paraId="1BEF0925" w14:textId="77777777" w:rsidR="00CA4BA2" w:rsidRPr="00B46D37" w:rsidRDefault="00CA4BA2" w:rsidP="00283FDA">
            <w:pPr>
              <w:tabs>
                <w:tab w:val="left" w:pos="709"/>
              </w:tabs>
              <w:rPr>
                <w:rFonts w:ascii="Arial" w:hAnsi="Arial" w:cs="Arial"/>
                <w:sz w:val="18"/>
                <w:szCs w:val="18"/>
                <w:highlight w:val="yellow"/>
              </w:rPr>
            </w:pPr>
          </w:p>
        </w:tc>
      </w:tr>
      <w:tr w:rsidR="007E7D58" w:rsidRPr="00961A47" w14:paraId="0A6E5285" w14:textId="77777777" w:rsidTr="001A36AA">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29FF6FA6" w:rsidR="00A14AE1" w:rsidRPr="00B36A4F" w:rsidRDefault="008116E9" w:rsidP="007E7D58">
            <w:pPr>
              <w:tabs>
                <w:tab w:val="left" w:pos="709"/>
              </w:tabs>
              <w:rPr>
                <w:rFonts w:ascii="Arial" w:hAnsi="Arial" w:cs="Arial"/>
                <w:iCs/>
                <w:sz w:val="18"/>
                <w:szCs w:val="18"/>
              </w:rPr>
            </w:pPr>
            <w:r w:rsidRPr="00B36A4F">
              <w:rPr>
                <w:rFonts w:ascii="Arial" w:hAnsi="Arial" w:cs="Arial"/>
                <w:iCs/>
                <w:sz w:val="18"/>
                <w:szCs w:val="18"/>
              </w:rPr>
              <w:t>Environment Agency</w:t>
            </w:r>
          </w:p>
          <w:p w14:paraId="0A62C6B9" w14:textId="1F6A6D31" w:rsidR="007E7D58" w:rsidRPr="00B46D37" w:rsidRDefault="007E7D58" w:rsidP="00F77621">
            <w:pPr>
              <w:tabs>
                <w:tab w:val="left" w:pos="709"/>
              </w:tabs>
              <w:rPr>
                <w:rFonts w:ascii="Arial" w:hAnsi="Arial" w:cs="Arial"/>
                <w:sz w:val="18"/>
                <w:szCs w:val="18"/>
                <w:highlight w:val="yellow"/>
              </w:rPr>
            </w:pPr>
          </w:p>
        </w:tc>
      </w:tr>
      <w:tr w:rsidR="007E7D58" w:rsidRPr="00961A47" w14:paraId="0F375EE1" w14:textId="77777777" w:rsidTr="001A36AA">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1A36AA">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20B3EC30"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EA1D13">
                  <w:rPr>
                    <w:rFonts w:ascii="MS Gothic" w:eastAsia="MS Gothic" w:hAnsi="MS Gothic" w:cs="Segoe UI Symbo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3E5E2F43">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9366BB" w:rsidRDefault="007E7D58" w:rsidP="007E7D58">
            <w:pPr>
              <w:tabs>
                <w:tab w:val="left" w:pos="709"/>
              </w:tabs>
              <w:rPr>
                <w:rFonts w:ascii="Arial" w:hAnsi="Arial" w:cs="Arial"/>
                <w:b/>
                <w:sz w:val="18"/>
                <w:szCs w:val="18"/>
              </w:rPr>
            </w:pPr>
            <w:r w:rsidRPr="009366BB">
              <w:rPr>
                <w:rFonts w:ascii="Arial" w:hAnsi="Arial" w:cs="Arial"/>
                <w:b/>
                <w:sz w:val="18"/>
                <w:szCs w:val="18"/>
              </w:rPr>
              <w:t>Goods</w:t>
            </w:r>
          </w:p>
        </w:tc>
        <w:tc>
          <w:tcPr>
            <w:tcW w:w="2817" w:type="pct"/>
            <w:shd w:val="clear" w:color="auto" w:fill="auto"/>
          </w:tcPr>
          <w:p w14:paraId="6A40B123" w14:textId="40D13BB0" w:rsidR="007E7D58" w:rsidRPr="009366BB" w:rsidRDefault="009366BB" w:rsidP="00EA1D13">
            <w:pPr>
              <w:tabs>
                <w:tab w:val="left" w:pos="709"/>
              </w:tabs>
              <w:rPr>
                <w:rFonts w:ascii="Arial" w:hAnsi="Arial" w:cs="Arial"/>
                <w:sz w:val="18"/>
                <w:szCs w:val="18"/>
              </w:rPr>
            </w:pPr>
            <w:r>
              <w:rPr>
                <w:rFonts w:ascii="Arial" w:hAnsi="Arial" w:cs="Arial"/>
                <w:sz w:val="18"/>
                <w:szCs w:val="18"/>
              </w:rPr>
              <w:t>None</w:t>
            </w:r>
          </w:p>
        </w:tc>
      </w:tr>
      <w:tr w:rsidR="007E7D58" w:rsidRPr="00961A47" w14:paraId="682172EF" w14:textId="77777777" w:rsidTr="3E5E2F43">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6F264A" w:rsidRDefault="007E7D58" w:rsidP="007E7D58">
            <w:pPr>
              <w:tabs>
                <w:tab w:val="left" w:pos="709"/>
              </w:tabs>
              <w:rPr>
                <w:rFonts w:ascii="Arial" w:hAnsi="Arial" w:cs="Arial"/>
                <w:b/>
                <w:sz w:val="18"/>
                <w:szCs w:val="18"/>
              </w:rPr>
            </w:pPr>
            <w:r w:rsidRPr="006F264A">
              <w:rPr>
                <w:rFonts w:ascii="Arial" w:hAnsi="Arial" w:cs="Arial"/>
                <w:b/>
                <w:sz w:val="18"/>
                <w:szCs w:val="18"/>
              </w:rPr>
              <w:t>Services</w:t>
            </w:r>
          </w:p>
        </w:tc>
        <w:tc>
          <w:tcPr>
            <w:tcW w:w="2817" w:type="pct"/>
            <w:shd w:val="clear" w:color="auto" w:fill="auto"/>
          </w:tcPr>
          <w:p w14:paraId="55C44819" w14:textId="69881EF3" w:rsidR="0011437C" w:rsidRPr="00103233" w:rsidRDefault="0011437C" w:rsidP="004A78E6">
            <w:pPr>
              <w:pStyle w:val="pf0"/>
              <w:rPr>
                <w:rFonts w:ascii="Arial" w:eastAsiaTheme="minorEastAsia" w:hAnsi="Arial" w:cs="Arial"/>
                <w:sz w:val="18"/>
                <w:szCs w:val="18"/>
                <w:lang w:val="en-NZ" w:eastAsia="en-US"/>
              </w:rPr>
            </w:pPr>
            <w:bookmarkStart w:id="0" w:name="_DV_C144"/>
            <w:bookmarkStart w:id="1" w:name="_Ref377110627"/>
            <w:r w:rsidRPr="00103233">
              <w:rPr>
                <w:rFonts w:ascii="Arial" w:eastAsiaTheme="minorEastAsia" w:hAnsi="Arial" w:cs="Arial"/>
                <w:sz w:val="18"/>
                <w:szCs w:val="18"/>
                <w:lang w:val="en-NZ" w:eastAsia="en-US"/>
              </w:rPr>
              <w:t>Description: as set out in Appendix 2 – Specification / Description</w:t>
            </w:r>
          </w:p>
          <w:p w14:paraId="3CB7F8A7" w14:textId="4AFDFAD3" w:rsidR="007E7D58" w:rsidRPr="00320A1B" w:rsidRDefault="007E7D58" w:rsidP="007E7D58">
            <w:pPr>
              <w:tabs>
                <w:tab w:val="left" w:pos="709"/>
              </w:tabs>
              <w:rPr>
                <w:rFonts w:ascii="Arial" w:hAnsi="Arial" w:cs="Arial"/>
                <w:i/>
                <w:iCs/>
                <w:sz w:val="18"/>
                <w:szCs w:val="18"/>
              </w:rPr>
            </w:pPr>
            <w:r w:rsidRPr="0011437C">
              <w:rPr>
                <w:rFonts w:ascii="Arial" w:hAnsi="Arial" w:cs="Arial"/>
                <w:sz w:val="18"/>
                <w:szCs w:val="18"/>
              </w:rPr>
              <w:t xml:space="preserve">To be </w:t>
            </w:r>
            <w:r w:rsidRPr="00320A1B">
              <w:rPr>
                <w:rFonts w:ascii="Arial" w:hAnsi="Arial" w:cs="Arial"/>
                <w:sz w:val="18"/>
                <w:szCs w:val="18"/>
              </w:rPr>
              <w:t>performed at the Contractor’s premises and/or a third party’s premises and in each case the address.</w:t>
            </w:r>
            <w:bookmarkEnd w:id="0"/>
            <w:bookmarkEnd w:id="1"/>
          </w:p>
          <w:p w14:paraId="78CB0504" w14:textId="77777777" w:rsidR="007E7D58" w:rsidRPr="0011437C" w:rsidRDefault="007E7D58" w:rsidP="007E7D58">
            <w:pPr>
              <w:tabs>
                <w:tab w:val="left" w:pos="709"/>
              </w:tabs>
              <w:rPr>
                <w:rFonts w:ascii="Arial" w:hAnsi="Arial" w:cs="Arial"/>
                <w:i/>
                <w:sz w:val="18"/>
                <w:szCs w:val="18"/>
              </w:rPr>
            </w:pPr>
          </w:p>
          <w:p w14:paraId="1F8C6F4E" w14:textId="3E73AE0F" w:rsidR="007E7D58" w:rsidRPr="0011437C" w:rsidRDefault="007E7D58" w:rsidP="007E7D58">
            <w:pPr>
              <w:tabs>
                <w:tab w:val="left" w:pos="709"/>
              </w:tabs>
              <w:rPr>
                <w:rFonts w:ascii="Arial" w:hAnsi="Arial" w:cs="Arial"/>
                <w:sz w:val="18"/>
                <w:szCs w:val="18"/>
              </w:rPr>
            </w:pPr>
            <w:r w:rsidRPr="0011437C">
              <w:rPr>
                <w:rFonts w:ascii="Arial" w:hAnsi="Arial" w:cs="Arial"/>
                <w:sz w:val="18"/>
                <w:szCs w:val="18"/>
              </w:rPr>
              <w:t xml:space="preserve">Date(s) of Delivery: </w:t>
            </w:r>
            <w:r w:rsidR="00F81457">
              <w:rPr>
                <w:rFonts w:ascii="Arial" w:hAnsi="Arial" w:cs="Arial"/>
                <w:sz w:val="18"/>
                <w:szCs w:val="18"/>
              </w:rPr>
              <w:t>TBC</w:t>
            </w:r>
          </w:p>
          <w:p w14:paraId="2A786758" w14:textId="77777777" w:rsidR="007E7D58" w:rsidRPr="0011437C" w:rsidRDefault="007E7D58" w:rsidP="00DD6492">
            <w:pPr>
              <w:tabs>
                <w:tab w:val="left" w:pos="709"/>
              </w:tabs>
              <w:rPr>
                <w:rFonts w:ascii="Arial" w:hAnsi="Arial" w:cs="Arial"/>
                <w:i/>
                <w:sz w:val="18"/>
                <w:szCs w:val="18"/>
              </w:rPr>
            </w:pPr>
          </w:p>
        </w:tc>
      </w:tr>
      <w:tr w:rsidR="007E7D58" w:rsidRPr="00961A47" w14:paraId="2A3F6693" w14:textId="77777777" w:rsidTr="001A36AA">
        <w:trPr>
          <w:trHeight w:val="698"/>
        </w:trPr>
        <w:tc>
          <w:tcPr>
            <w:tcW w:w="1413" w:type="pct"/>
            <w:shd w:val="clear" w:color="auto" w:fill="auto"/>
          </w:tcPr>
          <w:p w14:paraId="66431E1A" w14:textId="77777777" w:rsidR="007E7D58" w:rsidRPr="00F6070B"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F6070B">
              <w:rPr>
                <w:rFonts w:ascii="Arial" w:hAnsi="Arial" w:cs="Arial"/>
                <w:b/>
                <w:sz w:val="18"/>
                <w:szCs w:val="18"/>
              </w:rPr>
              <w:t>Start Date</w:t>
            </w:r>
          </w:p>
        </w:tc>
        <w:tc>
          <w:tcPr>
            <w:tcW w:w="3587" w:type="pct"/>
            <w:gridSpan w:val="2"/>
            <w:shd w:val="clear" w:color="auto" w:fill="auto"/>
          </w:tcPr>
          <w:p w14:paraId="37E6BF23" w14:textId="58494574" w:rsidR="007E7D58" w:rsidRPr="00F6070B" w:rsidRDefault="00F6070B" w:rsidP="009366BB">
            <w:pPr>
              <w:tabs>
                <w:tab w:val="left" w:pos="709"/>
              </w:tabs>
              <w:rPr>
                <w:rFonts w:ascii="Arial" w:eastAsia="Arial" w:hAnsi="Arial" w:cs="Arial"/>
                <w:i/>
                <w:sz w:val="18"/>
                <w:szCs w:val="18"/>
              </w:rPr>
            </w:pPr>
            <w:bookmarkStart w:id="2" w:name="_DV_C161"/>
            <w:bookmarkStart w:id="3" w:name="_Ref377110639"/>
            <w:r w:rsidRPr="001F5628">
              <w:rPr>
                <w:rFonts w:ascii="Arial" w:eastAsia="Arial" w:hAnsi="Arial" w:cs="Arial"/>
                <w:i/>
                <w:sz w:val="18"/>
                <w:szCs w:val="18"/>
              </w:rPr>
              <w:t>TBC</w:t>
            </w:r>
            <w:bookmarkEnd w:id="2"/>
            <w:bookmarkEnd w:id="3"/>
          </w:p>
        </w:tc>
      </w:tr>
      <w:tr w:rsidR="007E7D58" w:rsidRPr="00961A47" w14:paraId="71B2C04E" w14:textId="77777777" w:rsidTr="001A36AA">
        <w:trPr>
          <w:trHeight w:val="383"/>
        </w:trPr>
        <w:tc>
          <w:tcPr>
            <w:tcW w:w="1413" w:type="pct"/>
            <w:shd w:val="clear" w:color="auto" w:fill="auto"/>
          </w:tcPr>
          <w:p w14:paraId="5D4EEC78" w14:textId="77777777" w:rsidR="007E7D58" w:rsidRPr="00F6070B"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F6070B">
              <w:rPr>
                <w:rFonts w:ascii="Arial" w:hAnsi="Arial" w:cs="Arial"/>
                <w:b/>
                <w:sz w:val="18"/>
                <w:szCs w:val="18"/>
              </w:rPr>
              <w:t>Expiry Date</w:t>
            </w:r>
          </w:p>
        </w:tc>
        <w:tc>
          <w:tcPr>
            <w:tcW w:w="3587" w:type="pct"/>
            <w:gridSpan w:val="2"/>
            <w:shd w:val="clear" w:color="auto" w:fill="auto"/>
          </w:tcPr>
          <w:p w14:paraId="2483DC9A" w14:textId="20DEC6F0" w:rsidR="007E7D58" w:rsidRPr="001F5628" w:rsidRDefault="00F6070B" w:rsidP="001F5628">
            <w:pPr>
              <w:spacing w:before="120" w:after="120"/>
              <w:ind w:right="936"/>
              <w:rPr>
                <w:rFonts w:ascii="Arial" w:hAnsi="Arial" w:cs="Arial"/>
                <w:sz w:val="18"/>
                <w:szCs w:val="18"/>
              </w:rPr>
            </w:pPr>
            <w:r w:rsidRPr="001F5628">
              <w:rPr>
                <w:rFonts w:ascii="Arial" w:eastAsia="Arial" w:hAnsi="Arial" w:cs="Arial"/>
                <w:i/>
                <w:sz w:val="18"/>
                <w:szCs w:val="18"/>
              </w:rPr>
              <w:t>TBC</w:t>
            </w:r>
          </w:p>
        </w:tc>
      </w:tr>
      <w:tr w:rsidR="007E7D58" w:rsidRPr="00961A47" w14:paraId="6D89A4FD" w14:textId="77777777" w:rsidTr="001A36AA">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7870DFFE"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Services</w:t>
            </w:r>
            <w:r w:rsidRPr="00B46D37">
              <w:rPr>
                <w:rFonts w:ascii="Arial" w:hAnsi="Arial" w:cs="Arial"/>
                <w:sz w:val="18"/>
                <w:szCs w:val="18"/>
              </w:rPr>
              <w:t xml:space="preserve"> </w:t>
            </w:r>
            <w:bookmarkEnd w:id="8"/>
            <w:r w:rsidRPr="00B46D37">
              <w:rPr>
                <w:rFonts w:ascii="Arial" w:hAnsi="Arial" w:cs="Arial"/>
                <w:sz w:val="18"/>
                <w:szCs w:val="18"/>
              </w:rPr>
              <w:t xml:space="preserve">shall be as </w:t>
            </w:r>
            <w:r w:rsidRPr="00B232F5">
              <w:rPr>
                <w:rFonts w:ascii="Arial" w:hAnsi="Arial" w:cs="Arial"/>
                <w:sz w:val="18"/>
                <w:szCs w:val="18"/>
              </w:rPr>
              <w:t xml:space="preserve">set out </w:t>
            </w:r>
            <w:r w:rsidRPr="001F5628">
              <w:rPr>
                <w:rFonts w:ascii="Arial" w:hAnsi="Arial" w:cs="Arial"/>
                <w:sz w:val="18"/>
                <w:szCs w:val="18"/>
              </w:rPr>
              <w:t>in Appendix 3 – Charges.</w:t>
            </w:r>
            <w:bookmarkEnd w:id="7"/>
            <w:r w:rsidRPr="00B232F5">
              <w:rPr>
                <w:rFonts w:ascii="Arial" w:hAnsi="Arial" w:cs="Arial"/>
                <w:sz w:val="18"/>
                <w:szCs w:val="18"/>
              </w:rPr>
              <w:t xml:space="preserve"> </w:t>
            </w:r>
            <w:r w:rsidR="00F34637" w:rsidRPr="00B232F5">
              <w:rPr>
                <w:rFonts w:ascii="Arial" w:hAnsi="Arial" w:cs="Arial"/>
                <w:sz w:val="18"/>
                <w:szCs w:val="18"/>
              </w:rPr>
              <w:t>The</w:t>
            </w:r>
            <w:r w:rsidR="00F34637">
              <w:rPr>
                <w:rFonts w:ascii="Arial" w:hAnsi="Arial" w:cs="Arial"/>
                <w:sz w:val="18"/>
                <w:szCs w:val="18"/>
              </w:rPr>
              <w:t xml:space="preserv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1A36AA">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lastRenderedPageBreak/>
              <w:t>Payment</w:t>
            </w:r>
            <w:bookmarkEnd w:id="9"/>
          </w:p>
        </w:tc>
        <w:tc>
          <w:tcPr>
            <w:tcW w:w="3587" w:type="pct"/>
            <w:gridSpan w:val="2"/>
            <w:shd w:val="clear" w:color="auto" w:fill="auto"/>
          </w:tcPr>
          <w:p w14:paraId="1AC4D9CC" w14:textId="04400631" w:rsidR="00F6070B" w:rsidRDefault="007E7D58" w:rsidP="00EF64F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 xml:space="preserve">Payments will be made to </w:t>
            </w:r>
          </w:p>
          <w:p w14:paraId="2B64803B" w14:textId="7108F707" w:rsidR="00F6070B" w:rsidRPr="00320A1B" w:rsidRDefault="00F6070B" w:rsidP="00EF64F8">
            <w:pPr>
              <w:pStyle w:val="Header"/>
              <w:tabs>
                <w:tab w:val="left" w:pos="709"/>
              </w:tabs>
              <w:rPr>
                <w:rFonts w:ascii="Arial" w:hAnsi="Arial" w:cs="Arial"/>
                <w:bCs/>
                <w:i/>
                <w:iCs/>
                <w:sz w:val="18"/>
                <w:szCs w:val="18"/>
              </w:rPr>
            </w:pPr>
            <w:r w:rsidRPr="00320A1B">
              <w:rPr>
                <w:rFonts w:ascii="Arial" w:hAnsi="Arial" w:cs="Arial"/>
                <w:bCs/>
                <w:i/>
                <w:iCs/>
                <w:sz w:val="18"/>
                <w:szCs w:val="18"/>
              </w:rPr>
              <w:t>TBC</w:t>
            </w:r>
          </w:p>
          <w:p w14:paraId="5AEFA517" w14:textId="77777777" w:rsidR="007E7D58" w:rsidRPr="00B46D37" w:rsidRDefault="007E7D58" w:rsidP="00EF64F8">
            <w:pPr>
              <w:pStyle w:val="Header"/>
              <w:tabs>
                <w:tab w:val="left" w:pos="709"/>
              </w:tabs>
              <w:rPr>
                <w:rFonts w:ascii="Arial" w:hAnsi="Arial" w:cs="Arial"/>
                <w:sz w:val="18"/>
                <w:szCs w:val="18"/>
              </w:rPr>
            </w:pPr>
          </w:p>
        </w:tc>
      </w:tr>
      <w:tr w:rsidR="00DD176F" w:rsidRPr="00961A47" w14:paraId="62E0B503" w14:textId="77777777" w:rsidTr="001A36AA">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12437796" w14:textId="51BC7FE8" w:rsidR="00622BBD" w:rsidRDefault="009179C1" w:rsidP="00581AF1">
            <w:pPr>
              <w:pStyle w:val="Header"/>
              <w:tabs>
                <w:tab w:val="left" w:pos="709"/>
              </w:tabs>
              <w:rPr>
                <w:rFonts w:ascii="Arial" w:hAnsi="Arial" w:cs="Arial"/>
                <w:b/>
                <w:i/>
                <w:sz w:val="18"/>
                <w:szCs w:val="18"/>
              </w:rPr>
            </w:pPr>
            <w:r w:rsidRPr="00390010">
              <w:rPr>
                <w:rFonts w:ascii="Arial" w:hAnsi="Arial" w:cs="Arial"/>
                <w:sz w:val="18"/>
                <w:szCs w:val="18"/>
              </w:rPr>
              <w:t>A sum equal to £5,000,000</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1A36AA">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4A6B032A" w14:textId="77777777" w:rsidR="00C7528C" w:rsidRDefault="00C7528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Amy Furniss</w:t>
            </w:r>
          </w:p>
          <w:p w14:paraId="130322E1" w14:textId="5C129B34" w:rsidR="00C7528C" w:rsidRDefault="00C7528C" w:rsidP="007E7D58">
            <w:pPr>
              <w:pStyle w:val="BodyText3"/>
              <w:keepNext/>
              <w:tabs>
                <w:tab w:val="left" w:pos="709"/>
              </w:tabs>
              <w:spacing w:after="0" w:line="240" w:lineRule="auto"/>
              <w:rPr>
                <w:rFonts w:ascii="Arial" w:hAnsi="Arial" w:cs="Arial"/>
                <w:sz w:val="18"/>
                <w:szCs w:val="18"/>
              </w:rPr>
            </w:pPr>
            <w:hyperlink r:id="rId14" w:history="1">
              <w:r w:rsidRPr="007C6160">
                <w:rPr>
                  <w:rStyle w:val="Hyperlink"/>
                  <w:rFonts w:ascii="Arial" w:hAnsi="Arial" w:cs="Arial"/>
                  <w:sz w:val="18"/>
                  <w:szCs w:val="18"/>
                </w:rPr>
                <w:t>amy.furniss@environment-agency.gov.uk</w:t>
              </w:r>
            </w:hyperlink>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Default="007E7D58" w:rsidP="007E7D58">
            <w:pPr>
              <w:pStyle w:val="BodyText3"/>
              <w:keepNext/>
              <w:tabs>
                <w:tab w:val="left" w:pos="709"/>
              </w:tabs>
              <w:spacing w:after="0" w:line="240" w:lineRule="auto"/>
              <w:rPr>
                <w:rFonts w:ascii="Arial" w:hAnsi="Arial" w:cs="Arial"/>
                <w:sz w:val="18"/>
                <w:szCs w:val="18"/>
              </w:rPr>
            </w:pPr>
          </w:p>
          <w:p w14:paraId="00B89C0E" w14:textId="21AF09AF" w:rsidR="00C7528C" w:rsidRDefault="00C7528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Rob Allott</w:t>
            </w:r>
          </w:p>
          <w:p w14:paraId="7FF96EBE" w14:textId="01F95D82" w:rsidR="00A04D5C" w:rsidRDefault="006F264A" w:rsidP="007E7D58">
            <w:pPr>
              <w:pStyle w:val="BodyText3"/>
              <w:keepNext/>
              <w:tabs>
                <w:tab w:val="left" w:pos="709"/>
              </w:tabs>
              <w:spacing w:after="0" w:line="240" w:lineRule="auto"/>
              <w:rPr>
                <w:rFonts w:ascii="Arial" w:hAnsi="Arial" w:cs="Arial"/>
                <w:sz w:val="18"/>
                <w:szCs w:val="18"/>
              </w:rPr>
            </w:pPr>
            <w:hyperlink r:id="rId15" w:history="1">
              <w:r w:rsidRPr="00240402">
                <w:rPr>
                  <w:rStyle w:val="Hyperlink"/>
                  <w:rFonts w:ascii="Arial" w:hAnsi="Arial" w:cs="Arial"/>
                  <w:sz w:val="18"/>
                  <w:szCs w:val="18"/>
                </w:rPr>
                <w:t>rob.allott@environment-agency.gov.uk</w:t>
              </w:r>
            </w:hyperlink>
          </w:p>
          <w:p w14:paraId="3E4CD59E" w14:textId="77777777" w:rsidR="007E7D58" w:rsidRPr="00B46D37" w:rsidRDefault="007E7D58" w:rsidP="00390010">
            <w:pPr>
              <w:pStyle w:val="BodyText3"/>
              <w:keepNext/>
              <w:tabs>
                <w:tab w:val="left" w:pos="709"/>
              </w:tabs>
              <w:spacing w:after="0" w:line="240" w:lineRule="auto"/>
              <w:rPr>
                <w:rFonts w:ascii="Arial" w:hAnsi="Arial" w:cs="Arial"/>
                <w:sz w:val="18"/>
                <w:szCs w:val="18"/>
              </w:rPr>
            </w:pPr>
          </w:p>
        </w:tc>
      </w:tr>
      <w:tr w:rsidR="007E7D58" w:rsidRPr="00961A47" w14:paraId="26FB4D09" w14:textId="77777777" w:rsidTr="001A36AA">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77777777" w:rsidR="007E7D58" w:rsidRPr="00B46D37" w:rsidRDefault="007E7D58" w:rsidP="00390010">
            <w:pPr>
              <w:pStyle w:val="BodyText3"/>
              <w:keepNext/>
              <w:tabs>
                <w:tab w:val="left" w:pos="709"/>
              </w:tabs>
              <w:spacing w:after="0" w:line="240" w:lineRule="auto"/>
              <w:rPr>
                <w:rFonts w:ascii="Arial" w:hAnsi="Arial" w:cs="Arial"/>
                <w:sz w:val="18"/>
                <w:szCs w:val="18"/>
              </w:rPr>
            </w:pPr>
          </w:p>
        </w:tc>
      </w:tr>
      <w:tr w:rsidR="007E7D58" w:rsidRPr="00961A47" w14:paraId="3B6DEDD3" w14:textId="77777777" w:rsidTr="001A36AA">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5015654E"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6F264A">
              <w:rPr>
                <w:rFonts w:ascii="Arial" w:hAnsi="Arial" w:cs="Arial"/>
                <w:bCs/>
                <w:iCs/>
                <w:sz w:val="18"/>
                <w:szCs w:val="18"/>
              </w:rPr>
              <w:t xml:space="preserve">Option </w:t>
            </w:r>
            <w:r w:rsidRPr="00390010">
              <w:rPr>
                <w:rFonts w:ascii="Arial" w:hAnsi="Arial" w:cs="Arial"/>
                <w:b/>
                <w:iCs/>
                <w:sz w:val="18"/>
                <w:szCs w:val="18"/>
              </w:rPr>
              <w:t>B</w:t>
            </w:r>
            <w:r w:rsidR="006F264A">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6CE04BA4"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001A36AA">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644703CA" w14:textId="0B8EFEB6" w:rsidR="007E7D58" w:rsidRPr="00060369" w:rsidRDefault="007E7D58" w:rsidP="00DC1C1E">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attend progress meetings with the Customer every</w:t>
            </w:r>
            <w:r w:rsidR="00D23D38">
              <w:rPr>
                <w:rFonts w:ascii="Arial" w:eastAsia="Arial" w:hAnsi="Arial" w:cs="Arial"/>
                <w:color w:val="000000"/>
                <w:sz w:val="18"/>
                <w:szCs w:val="18"/>
              </w:rPr>
              <w:t xml:space="preserve"> 2 weeks.</w:t>
            </w:r>
          </w:p>
          <w:p w14:paraId="136953E5" w14:textId="3D774B85" w:rsidR="007E7D58" w:rsidRPr="00060369" w:rsidRDefault="007E7D58" w:rsidP="00DC1C1E">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w:t>
            </w:r>
            <w:r w:rsidR="00AB3B06">
              <w:rPr>
                <w:rFonts w:ascii="Arial" w:eastAsia="Arial" w:hAnsi="Arial" w:cs="Arial"/>
                <w:color w:val="000000"/>
                <w:sz w:val="18"/>
                <w:szCs w:val="18"/>
              </w:rPr>
              <w:t>following each task.</w:t>
            </w:r>
          </w:p>
          <w:p w14:paraId="4AC4472A" w14:textId="09C0E703" w:rsidR="007E7D58" w:rsidRPr="00060369" w:rsidRDefault="007E7D58" w:rsidP="00596035">
            <w:pPr>
              <w:pBdr>
                <w:top w:val="nil"/>
                <w:left w:val="nil"/>
                <w:bottom w:val="nil"/>
                <w:right w:val="nil"/>
                <w:between w:val="nil"/>
              </w:pBdr>
              <w:suppressAutoHyphens/>
              <w:spacing w:before="120" w:after="120"/>
              <w:ind w:left="360"/>
              <w:rPr>
                <w:rFonts w:ascii="Arial" w:eastAsia="Arial" w:hAnsi="Arial" w:cs="Arial"/>
                <w:color w:val="000000"/>
                <w:sz w:val="18"/>
                <w:szCs w:val="18"/>
              </w:rPr>
            </w:pPr>
          </w:p>
        </w:tc>
      </w:tr>
      <w:tr w:rsidR="007E7D58" w:rsidRPr="00961A47" w14:paraId="0CA426CF" w14:textId="77777777" w:rsidTr="001A36AA">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510"/>
              <w:gridCol w:w="1375"/>
            </w:tblGrid>
            <w:tr w:rsidR="007E7D58" w14:paraId="430CB4B5" w14:textId="77777777" w:rsidTr="009366BB">
              <w:trPr>
                <w:trHeight w:val="1292"/>
              </w:trPr>
              <w:tc>
                <w:tcPr>
                  <w:tcW w:w="3510"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5BA28C42" w14:textId="77777777" w:rsidR="004D2C7D" w:rsidRDefault="006B1B39" w:rsidP="007E7D58">
                  <w:pPr>
                    <w:pStyle w:val="Header"/>
                    <w:tabs>
                      <w:tab w:val="left" w:pos="709"/>
                    </w:tabs>
                    <w:ind w:right="3"/>
                    <w:rPr>
                      <w:rFonts w:ascii="Arial" w:hAnsi="Arial" w:cs="Arial"/>
                      <w:b/>
                      <w:sz w:val="18"/>
                      <w:szCs w:val="18"/>
                    </w:rPr>
                  </w:pPr>
                  <w:r>
                    <w:rPr>
                      <w:rFonts w:ascii="Arial" w:hAnsi="Arial" w:cs="Arial"/>
                      <w:b/>
                      <w:sz w:val="18"/>
                      <w:szCs w:val="18"/>
                    </w:rPr>
                    <w:t>Environment Agency</w:t>
                  </w:r>
                </w:p>
                <w:p w14:paraId="6B8282B9" w14:textId="50CA4731" w:rsidR="007C5EFC" w:rsidRPr="00CA4BA2" w:rsidRDefault="003B17EB" w:rsidP="007E7D58">
                  <w:pPr>
                    <w:pStyle w:val="Header"/>
                    <w:tabs>
                      <w:tab w:val="left" w:pos="709"/>
                    </w:tabs>
                    <w:ind w:right="3"/>
                    <w:rPr>
                      <w:rFonts w:ascii="Arial" w:hAnsi="Arial" w:cs="Arial"/>
                      <w:b/>
                      <w:sz w:val="18"/>
                      <w:szCs w:val="18"/>
                    </w:rPr>
                  </w:pPr>
                  <w:r w:rsidRPr="003B17EB">
                    <w:rPr>
                      <w:rFonts w:ascii="Arial" w:hAnsi="Arial" w:cs="Arial"/>
                      <w:b/>
                      <w:sz w:val="18"/>
                      <w:szCs w:val="18"/>
                    </w:rPr>
                    <w:t>Horizon House, Deanery Road</w:t>
                  </w:r>
                  <w:r w:rsidRPr="003B17EB">
                    <w:rPr>
                      <w:rFonts w:ascii="Arial" w:hAnsi="Arial" w:cs="Arial"/>
                      <w:b/>
                      <w:sz w:val="18"/>
                      <w:szCs w:val="18"/>
                    </w:rPr>
                    <w:br/>
                    <w:t>Bristol</w:t>
                  </w:r>
                  <w:r w:rsidRPr="003B17EB">
                    <w:rPr>
                      <w:rFonts w:ascii="Arial" w:hAnsi="Arial" w:cs="Arial"/>
                      <w:b/>
                      <w:sz w:val="18"/>
                      <w:szCs w:val="18"/>
                    </w:rPr>
                    <w:br/>
                    <w:t>BS1 5AH</w:t>
                  </w:r>
                  <w:r w:rsidRPr="003B17EB">
                    <w:rPr>
                      <w:rFonts w:ascii="Arial" w:hAnsi="Arial" w:cs="Arial"/>
                      <w:b/>
                      <w:sz w:val="18"/>
                      <w:szCs w:val="18"/>
                    </w:rPr>
                    <w:br/>
                    <w:t>United Kingdom</w:t>
                  </w:r>
                </w:p>
              </w:tc>
              <w:tc>
                <w:tcPr>
                  <w:tcW w:w="1375"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9366BB">
              <w:trPr>
                <w:trHeight w:val="1931"/>
              </w:trPr>
              <w:tc>
                <w:tcPr>
                  <w:tcW w:w="3510" w:type="dxa"/>
                </w:tcPr>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33D1CB26"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3B17EB">
                    <w:rPr>
                      <w:rFonts w:ascii="Arial" w:hAnsi="Arial" w:cs="Arial"/>
                      <w:sz w:val="18"/>
                      <w:szCs w:val="18"/>
                    </w:rPr>
                    <w:t>Amy Furniss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4F3E04CA"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r w:rsidRPr="006F264A">
                    <w:rPr>
                      <w:rFonts w:ascii="Arial" w:hAnsi="Arial" w:cs="Arial"/>
                      <w:sz w:val="18"/>
                      <w:szCs w:val="18"/>
                    </w:rPr>
                    <w:t xml:space="preserve">:  </w:t>
                  </w:r>
                  <w:r w:rsidR="003B17EB" w:rsidRPr="009366BB">
                    <w:rPr>
                      <w:rFonts w:ascii="Arial" w:hAnsi="Arial" w:cs="Arial"/>
                      <w:sz w:val="18"/>
                      <w:szCs w:val="18"/>
                    </w:rPr>
                    <w:t>amy.furniss@environment-agency.gov.uk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1375" w:type="dxa"/>
                </w:tcPr>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565F941F"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4F3A95"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
              </w:tc>
            </w:tr>
            <w:tr w:rsidR="00E567F8" w14:paraId="63E3831B" w14:textId="77777777" w:rsidTr="009366BB">
              <w:trPr>
                <w:gridAfter w:val="1"/>
                <w:wAfter w:w="1375" w:type="dxa"/>
                <w:trHeight w:val="436"/>
              </w:trPr>
              <w:tc>
                <w:tcPr>
                  <w:tcW w:w="3510" w:type="dxa"/>
                </w:tcPr>
                <w:p w14:paraId="16DE294F" w14:textId="00AD240D"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1A36AA">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rsidTr="001A36AA">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1A36AA">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1A36AA">
              <w:tc>
                <w:tcPr>
                  <w:tcW w:w="6650" w:type="dxa"/>
                  <w:gridSpan w:val="3"/>
                  <w:tcBorders>
                    <w:top w:val="nil"/>
                    <w:left w:val="nil"/>
                    <w:bottom w:val="nil"/>
                    <w:right w:val="nil"/>
                  </w:tcBorders>
                </w:tcPr>
                <w:p w14:paraId="011B9033" w14:textId="7ED5437B"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rsidTr="001A36AA">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1A36AA">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4E8F9DCA"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4218B7F2" w14:textId="559EB0BC"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 xml:space="preserve">The Customer’s Staff Vetting Procedures are: </w:t>
            </w:r>
          </w:p>
          <w:p w14:paraId="64768C01" w14:textId="066F4279" w:rsidR="007E7D58" w:rsidRPr="00060369" w:rsidRDefault="00C03028" w:rsidP="007E7D58">
            <w:pPr>
              <w:pStyle w:val="Heading2"/>
              <w:keepNext/>
              <w:numPr>
                <w:ilvl w:val="0"/>
                <w:numId w:val="0"/>
              </w:numPr>
              <w:tabs>
                <w:tab w:val="left" w:pos="709"/>
              </w:tabs>
              <w:spacing w:after="0"/>
              <w:ind w:left="709"/>
              <w:jc w:val="left"/>
              <w:rPr>
                <w:rFonts w:ascii="Arial" w:hAnsi="Arial" w:cs="Arial"/>
                <w:i/>
                <w:sz w:val="18"/>
                <w:szCs w:val="18"/>
              </w:rPr>
            </w:pPr>
            <w:r w:rsidRPr="00C03028">
              <w:rPr>
                <w:rFonts w:ascii="Arial" w:hAnsi="Arial" w:cs="Arial"/>
                <w:i/>
                <w:sz w:val="18"/>
                <w:szCs w:val="18"/>
                <w:lang w:val="en-NZ"/>
              </w:rPr>
              <w:t xml:space="preserve">The </w:t>
            </w:r>
            <w:r w:rsidR="00AB04D0">
              <w:rPr>
                <w:rFonts w:ascii="Arial" w:hAnsi="Arial" w:cs="Arial"/>
                <w:i/>
                <w:sz w:val="18"/>
                <w:szCs w:val="18"/>
                <w:lang w:val="en-NZ"/>
              </w:rPr>
              <w:t>C</w:t>
            </w:r>
            <w:r>
              <w:rPr>
                <w:rFonts w:ascii="Arial" w:hAnsi="Arial" w:cs="Arial"/>
                <w:i/>
                <w:sz w:val="18"/>
                <w:szCs w:val="18"/>
                <w:lang w:val="en-NZ"/>
              </w:rPr>
              <w:t>ustomer</w:t>
            </w:r>
            <w:r w:rsidRPr="00C03028">
              <w:rPr>
                <w:rFonts w:ascii="Arial" w:hAnsi="Arial" w:cs="Arial"/>
                <w:i/>
                <w:sz w:val="18"/>
                <w:szCs w:val="18"/>
                <w:lang w:val="en-NZ"/>
              </w:rPr>
              <w:t xml:space="preserve"> may require the </w:t>
            </w:r>
            <w:r w:rsidR="00AB04D0">
              <w:rPr>
                <w:rFonts w:ascii="Arial" w:hAnsi="Arial" w:cs="Arial"/>
                <w:i/>
                <w:sz w:val="18"/>
                <w:szCs w:val="18"/>
                <w:lang w:val="en-NZ"/>
              </w:rPr>
              <w:t xml:space="preserve">Contractor </w:t>
            </w:r>
            <w:r w:rsidRPr="00C03028">
              <w:rPr>
                <w:rFonts w:ascii="Arial" w:hAnsi="Arial" w:cs="Arial"/>
                <w:i/>
                <w:sz w:val="18"/>
                <w:szCs w:val="18"/>
                <w:lang w:val="en-NZ"/>
              </w:rPr>
              <w:t xml:space="preserve">to ensure that any person employed in the delivery of the </w:t>
            </w:r>
            <w:r w:rsidR="001E2F8D">
              <w:rPr>
                <w:rFonts w:ascii="Arial" w:hAnsi="Arial" w:cs="Arial"/>
                <w:i/>
                <w:sz w:val="18"/>
                <w:szCs w:val="18"/>
                <w:lang w:val="en-NZ"/>
              </w:rPr>
              <w:t>D</w:t>
            </w:r>
            <w:r w:rsidRPr="00C03028">
              <w:rPr>
                <w:rFonts w:ascii="Arial" w:hAnsi="Arial" w:cs="Arial"/>
                <w:i/>
                <w:sz w:val="18"/>
                <w:szCs w:val="18"/>
                <w:lang w:val="en-NZ"/>
              </w:rPr>
              <w:t xml:space="preserve">eliverables has undertaken a Disclosure and Barring Service check. The </w:t>
            </w:r>
            <w:r w:rsidR="001E2F8D">
              <w:rPr>
                <w:rFonts w:ascii="Arial" w:hAnsi="Arial" w:cs="Arial"/>
                <w:i/>
                <w:sz w:val="18"/>
                <w:szCs w:val="18"/>
                <w:lang w:val="en-NZ"/>
              </w:rPr>
              <w:t>Contractor</w:t>
            </w:r>
            <w:r w:rsidRPr="00C03028">
              <w:rPr>
                <w:rFonts w:ascii="Arial" w:hAnsi="Arial" w:cs="Arial"/>
                <w:i/>
                <w:sz w:val="18"/>
                <w:szCs w:val="18"/>
                <w:lang w:val="en-NZ"/>
              </w:rPr>
              <w:t xml:space="preserve"> shall ensure that no person who discloses that they have a conviction that is relevant to the nature of the Contract, relevant to the work of the </w:t>
            </w:r>
            <w:r w:rsidR="005620C5">
              <w:rPr>
                <w:rFonts w:ascii="Arial" w:hAnsi="Arial" w:cs="Arial"/>
                <w:i/>
                <w:sz w:val="18"/>
                <w:szCs w:val="18"/>
                <w:lang w:val="en-NZ"/>
              </w:rPr>
              <w:t>Customer</w:t>
            </w:r>
            <w:r w:rsidRPr="00C03028">
              <w:rPr>
                <w:rFonts w:ascii="Arial" w:hAnsi="Arial" w:cs="Arial"/>
                <w:i/>
                <w:sz w:val="18"/>
                <w:szCs w:val="18"/>
                <w:lang w:val="en-NZ"/>
              </w:rPr>
              <w:t xml:space="preserve">, or is of a type otherwise advised by the </w:t>
            </w:r>
            <w:r w:rsidR="005620C5">
              <w:rPr>
                <w:rFonts w:ascii="Arial" w:hAnsi="Arial" w:cs="Arial"/>
                <w:i/>
                <w:sz w:val="18"/>
                <w:szCs w:val="18"/>
                <w:lang w:val="en-NZ"/>
              </w:rPr>
              <w:t>Customer</w:t>
            </w:r>
            <w:r w:rsidRPr="00C03028">
              <w:rPr>
                <w:rFonts w:ascii="Arial" w:hAnsi="Arial" w:cs="Arial"/>
                <w:i/>
                <w:sz w:val="18"/>
                <w:szCs w:val="18"/>
                <w:lang w:val="en-NZ"/>
              </w:rPr>
              <w:t xml:space="preserve"> (each such conviction a "Relevant Conviction"), or is found by the </w:t>
            </w:r>
            <w:r w:rsidR="005620C5">
              <w:rPr>
                <w:rFonts w:ascii="Arial" w:hAnsi="Arial" w:cs="Arial"/>
                <w:i/>
                <w:sz w:val="18"/>
                <w:szCs w:val="18"/>
                <w:lang w:val="en-NZ"/>
              </w:rPr>
              <w:t>Contract</w:t>
            </w:r>
            <w:r w:rsidR="00107516">
              <w:rPr>
                <w:rFonts w:ascii="Arial" w:hAnsi="Arial" w:cs="Arial"/>
                <w:i/>
                <w:sz w:val="18"/>
                <w:szCs w:val="18"/>
                <w:lang w:val="en-NZ"/>
              </w:rPr>
              <w:t>or</w:t>
            </w:r>
            <w:r w:rsidRPr="00C03028">
              <w:rPr>
                <w:rFonts w:ascii="Arial" w:hAnsi="Arial" w:cs="Arial"/>
                <w:i/>
                <w:sz w:val="18"/>
                <w:szCs w:val="18"/>
                <w:lang w:val="en-NZ"/>
              </w:rPr>
              <w:t xml:space="preserve"> to have a Relevant Conviction (whether as a result of a police check, a Disclosure </w:t>
            </w:r>
            <w:r w:rsidRPr="00C03028">
              <w:rPr>
                <w:rFonts w:ascii="Arial" w:hAnsi="Arial" w:cs="Arial"/>
                <w:i/>
                <w:sz w:val="18"/>
                <w:szCs w:val="18"/>
                <w:lang w:val="en-NZ"/>
              </w:rPr>
              <w:lastRenderedPageBreak/>
              <w:t>and Barring Service check or otherwise)</w:t>
            </w:r>
            <w:r w:rsidR="00107516">
              <w:rPr>
                <w:rFonts w:ascii="Arial" w:hAnsi="Arial" w:cs="Arial"/>
                <w:i/>
                <w:sz w:val="18"/>
                <w:szCs w:val="18"/>
                <w:lang w:val="en-NZ"/>
              </w:rPr>
              <w:t>,</w:t>
            </w:r>
            <w:r w:rsidRPr="00C03028">
              <w:rPr>
                <w:rFonts w:ascii="Arial" w:hAnsi="Arial" w:cs="Arial"/>
                <w:i/>
                <w:sz w:val="18"/>
                <w:szCs w:val="18"/>
                <w:lang w:val="en-NZ"/>
              </w:rPr>
              <w:t xml:space="preserve"> is employed or engaged in the provision of any part of the Deliverables</w:t>
            </w:r>
            <w:r w:rsidR="00107516">
              <w:rPr>
                <w:rFonts w:ascii="Arial" w:hAnsi="Arial" w:cs="Arial"/>
                <w:i/>
                <w:sz w:val="18"/>
                <w:szCs w:val="18"/>
                <w:lang w:val="en-NZ"/>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668B84E7" w14:textId="18062D1F" w:rsidR="00BE2A44" w:rsidRDefault="007E7D58" w:rsidP="007E7D58">
            <w:pPr>
              <w:tabs>
                <w:tab w:val="left" w:pos="709"/>
              </w:tabs>
              <w:rPr>
                <w:rFonts w:ascii="Arial" w:hAnsi="Arial" w:cs="Arial"/>
                <w:sz w:val="18"/>
                <w:szCs w:val="18"/>
              </w:rPr>
            </w:pPr>
            <w:r w:rsidRPr="00060369" w:rsidDel="00B1748D">
              <w:rPr>
                <w:rFonts w:ascii="Arial" w:hAnsi="Arial" w:cs="Arial"/>
                <w:sz w:val="18"/>
                <w:szCs w:val="18"/>
              </w:rPr>
              <w:t>The Customer’s security / data security requirements are:</w:t>
            </w:r>
          </w:p>
          <w:p w14:paraId="45E6CF3F" w14:textId="2CD50525" w:rsidR="00BE2A44" w:rsidRPr="00580E34" w:rsidRDefault="00BB7800" w:rsidP="00580E34">
            <w:pPr>
              <w:tabs>
                <w:tab w:val="left" w:pos="709"/>
              </w:tabs>
              <w:ind w:left="710"/>
              <w:rPr>
                <w:rFonts w:ascii="Arial" w:hAnsi="Arial" w:cs="Arial"/>
                <w:i/>
                <w:iCs/>
                <w:sz w:val="18"/>
                <w:szCs w:val="18"/>
              </w:rPr>
            </w:pPr>
            <w:r>
              <w:rPr>
                <w:rFonts w:ascii="Arial" w:hAnsi="Arial" w:cs="Arial"/>
                <w:i/>
                <w:iCs/>
                <w:sz w:val="18"/>
                <w:szCs w:val="18"/>
              </w:rPr>
              <w:t xml:space="preserve">None in addition to </w:t>
            </w:r>
            <w:r w:rsidRPr="00BB7800">
              <w:rPr>
                <w:rFonts w:ascii="Arial" w:hAnsi="Arial" w:cs="Arial"/>
                <w:i/>
                <w:iCs/>
                <w:sz w:val="18"/>
                <w:szCs w:val="18"/>
              </w:rPr>
              <w:t>Standard Goods &amp; Services Terms and Conditions (EA)</w:t>
            </w:r>
            <w:r>
              <w:rPr>
                <w:rFonts w:ascii="Arial" w:hAnsi="Arial" w:cs="Arial"/>
                <w:i/>
                <w:iCs/>
                <w:sz w:val="18"/>
                <w:szCs w:val="18"/>
              </w:rPr>
              <w:t>.</w:t>
            </w:r>
          </w:p>
          <w:p w14:paraId="3296FF87" w14:textId="77777777" w:rsidR="007E7D58" w:rsidRPr="00060369" w:rsidRDefault="007E7D58" w:rsidP="007E7D58">
            <w:pPr>
              <w:tabs>
                <w:tab w:val="left" w:pos="709"/>
              </w:tabs>
              <w:rPr>
                <w:rFonts w:ascii="Arial" w:hAnsi="Arial" w:cs="Arial"/>
                <w:sz w:val="18"/>
                <w:szCs w:val="18"/>
              </w:rPr>
            </w:pPr>
          </w:p>
          <w:p w14:paraId="28CBF1B8" w14:textId="593EC41B" w:rsidR="007E7D58"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p>
          <w:p w14:paraId="0389D40F" w14:textId="04AD15CC" w:rsidR="00943100" w:rsidRPr="00580E34" w:rsidRDefault="003D0114" w:rsidP="001B5D95">
            <w:pPr>
              <w:tabs>
                <w:tab w:val="left" w:pos="709"/>
              </w:tabs>
              <w:ind w:left="710"/>
              <w:rPr>
                <w:rFonts w:ascii="Arial" w:hAnsi="Arial" w:cs="Arial"/>
                <w:i/>
                <w:sz w:val="18"/>
                <w:szCs w:val="18"/>
              </w:rPr>
            </w:pPr>
            <w:r w:rsidRPr="00580E34">
              <w:rPr>
                <w:rFonts w:ascii="Arial" w:hAnsi="Arial" w:cs="Arial"/>
                <w:i/>
                <w:sz w:val="18"/>
                <w:szCs w:val="18"/>
              </w:rPr>
              <w:t>For the purposes of the</w:t>
            </w:r>
            <w:r w:rsidR="00943100" w:rsidRPr="00580E34">
              <w:rPr>
                <w:rFonts w:ascii="Arial" w:hAnsi="Arial" w:cs="Arial"/>
                <w:i/>
                <w:sz w:val="18"/>
                <w:szCs w:val="18"/>
              </w:rPr>
              <w:t xml:space="preserve"> Contract the Sustainability Requirements are provided in </w:t>
            </w:r>
            <w:hyperlink r:id="rId16" w:history="1">
              <w:r w:rsidR="00986493" w:rsidRPr="00986493">
                <w:rPr>
                  <w:rStyle w:val="Hyperlink"/>
                  <w:rFonts w:ascii="Arial" w:hAnsi="Arial" w:cs="Arial"/>
                  <w:i/>
                  <w:sz w:val="18"/>
                  <w:szCs w:val="18"/>
                </w:rPr>
                <w:t>EA2025 creating a better place</w:t>
              </w:r>
            </w:hyperlink>
            <w:r w:rsidR="00986493" w:rsidRPr="00986493">
              <w:rPr>
                <w:rFonts w:ascii="Arial" w:hAnsi="Arial" w:cs="Arial"/>
                <w:i/>
                <w:sz w:val="18"/>
                <w:szCs w:val="18"/>
              </w:rPr>
              <w:t xml:space="preserve"> </w:t>
            </w:r>
            <w:r w:rsidR="00A3273A" w:rsidRPr="00580E34">
              <w:rPr>
                <w:rFonts w:ascii="Arial" w:hAnsi="Arial" w:cs="Arial"/>
                <w:i/>
                <w:sz w:val="18"/>
                <w:szCs w:val="18"/>
              </w:rPr>
              <w:t>and the commitment to reach</w:t>
            </w:r>
            <w:r w:rsidR="007D79E5" w:rsidRPr="00C9239F">
              <w:rPr>
                <w:rFonts w:ascii="Arial" w:hAnsi="Arial" w:cs="Arial"/>
                <w:i/>
                <w:sz w:val="18"/>
                <w:szCs w:val="18"/>
              </w:rPr>
              <w:t xml:space="preserve"> </w:t>
            </w:r>
            <w:hyperlink r:id="rId17" w:history="1">
              <w:r w:rsidR="004C45CF" w:rsidRPr="004C45CF">
                <w:rPr>
                  <w:rStyle w:val="Hyperlink"/>
                  <w:rFonts w:ascii="Arial" w:hAnsi="Arial" w:cs="Arial"/>
                  <w:i/>
                  <w:sz w:val="18"/>
                  <w:szCs w:val="18"/>
                </w:rPr>
                <w:t>net zero</w:t>
              </w:r>
            </w:hyperlink>
            <w:r w:rsidR="00DC31C7" w:rsidRPr="00580E34">
              <w:rPr>
                <w:rFonts w:ascii="Arial" w:hAnsi="Arial" w:cs="Arial"/>
                <w:i/>
                <w:sz w:val="18"/>
                <w:szCs w:val="18"/>
              </w:rPr>
              <w:t>.</w:t>
            </w:r>
          </w:p>
          <w:p w14:paraId="4F7E32FE" w14:textId="77777777" w:rsidR="007E7D58" w:rsidRPr="00060369" w:rsidRDefault="007E7D58" w:rsidP="007E7D58">
            <w:pPr>
              <w:tabs>
                <w:tab w:val="left" w:pos="709"/>
              </w:tabs>
              <w:rPr>
                <w:rFonts w:ascii="Arial" w:hAnsi="Arial" w:cs="Arial"/>
                <w:sz w:val="18"/>
                <w:szCs w:val="18"/>
              </w:rPr>
            </w:pPr>
          </w:p>
          <w:p w14:paraId="4D0A85BA" w14:textId="285F4566" w:rsidR="00BB7800" w:rsidRDefault="007E7D58" w:rsidP="007E7D58">
            <w:pPr>
              <w:tabs>
                <w:tab w:val="left" w:pos="709"/>
              </w:tabs>
              <w:rPr>
                <w:rFonts w:ascii="Arial" w:hAnsi="Arial" w:cs="Arial"/>
                <w:sz w:val="18"/>
                <w:szCs w:val="18"/>
              </w:rPr>
            </w:pPr>
            <w:r w:rsidRPr="00060369" w:rsidDel="00B1748D">
              <w:rPr>
                <w:rFonts w:ascii="Arial" w:hAnsi="Arial" w:cs="Arial"/>
                <w:sz w:val="18"/>
                <w:szCs w:val="18"/>
              </w:rPr>
              <w:t>The Customer’s equality and diversity policy/requirements and instructions related to equality Law and environmental policy are</w:t>
            </w:r>
            <w:r w:rsidR="00BB7800">
              <w:rPr>
                <w:rFonts w:ascii="Arial" w:hAnsi="Arial" w:cs="Arial"/>
                <w:sz w:val="18"/>
                <w:szCs w:val="18"/>
              </w:rPr>
              <w:t>:</w:t>
            </w:r>
          </w:p>
          <w:p w14:paraId="198B83FE" w14:textId="77777777" w:rsidR="00BB7800" w:rsidRPr="005A45DA" w:rsidRDefault="00BB7800" w:rsidP="00BB7800">
            <w:pPr>
              <w:tabs>
                <w:tab w:val="left" w:pos="709"/>
              </w:tabs>
              <w:ind w:left="710"/>
              <w:rPr>
                <w:rFonts w:ascii="Arial" w:hAnsi="Arial" w:cs="Arial"/>
                <w:i/>
                <w:iCs/>
                <w:sz w:val="18"/>
                <w:szCs w:val="18"/>
              </w:rPr>
            </w:pPr>
            <w:r>
              <w:rPr>
                <w:rFonts w:ascii="Arial" w:hAnsi="Arial" w:cs="Arial"/>
                <w:i/>
                <w:iCs/>
                <w:sz w:val="18"/>
                <w:szCs w:val="18"/>
              </w:rPr>
              <w:t xml:space="preserve">None in addition to </w:t>
            </w:r>
            <w:r w:rsidRPr="00BB7800">
              <w:rPr>
                <w:rFonts w:ascii="Arial" w:hAnsi="Arial" w:cs="Arial"/>
                <w:i/>
                <w:iCs/>
                <w:sz w:val="18"/>
                <w:szCs w:val="18"/>
              </w:rPr>
              <w:t>Standard Goods &amp; Services Terms and Conditions (EA)</w:t>
            </w:r>
            <w:r>
              <w:rPr>
                <w:rFonts w:ascii="Arial" w:hAnsi="Arial" w:cs="Arial"/>
                <w:i/>
                <w:iCs/>
                <w:sz w:val="18"/>
                <w:szCs w:val="18"/>
              </w:rPr>
              <w:t>.</w:t>
            </w:r>
          </w:p>
          <w:p w14:paraId="7092F3F4" w14:textId="1F6A93AB" w:rsidR="007E7D58" w:rsidRPr="00060369" w:rsidDel="00B1748D" w:rsidRDefault="007E7D58" w:rsidP="007E7D58">
            <w:pPr>
              <w:tabs>
                <w:tab w:val="left" w:pos="709"/>
              </w:tabs>
              <w:rPr>
                <w:rFonts w:ascii="Arial" w:hAnsi="Arial" w:cs="Arial"/>
                <w:sz w:val="18"/>
                <w:szCs w:val="18"/>
              </w:rPr>
            </w:pPr>
          </w:p>
          <w:p w14:paraId="2735DCBD" w14:textId="59ECADCD" w:rsidR="00354A0D" w:rsidRDefault="007E7D58" w:rsidP="00354A0D">
            <w:pPr>
              <w:tabs>
                <w:tab w:val="left" w:pos="709"/>
              </w:tabs>
              <w:rPr>
                <w:rFonts w:ascii="Arial" w:hAnsi="Arial" w:cs="Arial"/>
                <w:sz w:val="18"/>
                <w:szCs w:val="18"/>
              </w:rPr>
            </w:pPr>
            <w:r w:rsidRPr="00060369" w:rsidDel="00B1748D">
              <w:rPr>
                <w:rFonts w:ascii="Arial" w:hAnsi="Arial" w:cs="Arial"/>
                <w:sz w:val="18"/>
                <w:szCs w:val="18"/>
              </w:rPr>
              <w:t>The Customer’s health and safety policy is:</w:t>
            </w:r>
          </w:p>
          <w:p w14:paraId="56F5CEB1" w14:textId="66874DBF" w:rsidR="00693FCD" w:rsidRPr="005A45DA" w:rsidRDefault="00693FCD" w:rsidP="00693FCD">
            <w:pPr>
              <w:tabs>
                <w:tab w:val="left" w:pos="709"/>
              </w:tabs>
              <w:ind w:left="710"/>
              <w:rPr>
                <w:rFonts w:ascii="Arial" w:hAnsi="Arial" w:cs="Arial"/>
                <w:i/>
                <w:iCs/>
                <w:sz w:val="18"/>
                <w:szCs w:val="18"/>
              </w:rPr>
            </w:pPr>
            <w:r>
              <w:rPr>
                <w:rFonts w:ascii="Arial" w:hAnsi="Arial" w:cs="Arial"/>
                <w:i/>
                <w:iCs/>
                <w:sz w:val="18"/>
                <w:szCs w:val="18"/>
              </w:rPr>
              <w:t>Copy provided.</w:t>
            </w:r>
          </w:p>
          <w:p w14:paraId="00A1E155" w14:textId="77777777" w:rsidR="007E7D58" w:rsidRPr="00060369" w:rsidRDefault="007E7D58" w:rsidP="00B1748D">
            <w:pPr>
              <w:tabs>
                <w:tab w:val="left" w:pos="709"/>
              </w:tabs>
              <w:rPr>
                <w:rFonts w:ascii="Arial" w:hAnsi="Arial" w:cs="Arial"/>
                <w:sz w:val="18"/>
                <w:szCs w:val="18"/>
              </w:rPr>
            </w:pPr>
          </w:p>
        </w:tc>
      </w:tr>
      <w:tr w:rsidR="007E7D58" w:rsidRPr="00961A47" w14:paraId="5BE74AA2" w14:textId="77777777" w:rsidTr="001A36AA">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lastRenderedPageBreak/>
              <w:t>Special Terms</w:t>
            </w:r>
            <w:bookmarkEnd w:id="15"/>
          </w:p>
        </w:tc>
        <w:tc>
          <w:tcPr>
            <w:tcW w:w="3587" w:type="pct"/>
            <w:gridSpan w:val="2"/>
            <w:shd w:val="clear" w:color="auto" w:fill="auto"/>
          </w:tcPr>
          <w:p w14:paraId="5CA25D6F" w14:textId="297E5F04" w:rsidR="007E7D58" w:rsidRPr="00607C0A" w:rsidRDefault="000A32FC" w:rsidP="009366BB">
            <w:pPr>
              <w:spacing w:before="120" w:after="120"/>
              <w:rPr>
                <w:rFonts w:ascii="Arial" w:hAnsi="Arial" w:cs="Arial"/>
                <w:b/>
                <w:i/>
                <w:sz w:val="18"/>
                <w:szCs w:val="18"/>
              </w:rPr>
            </w:pPr>
            <w:r>
              <w:rPr>
                <w:rFonts w:ascii="Arial" w:eastAsia="Arial" w:hAnsi="Arial" w:cs="Arial"/>
                <w:b/>
                <w:i/>
                <w:sz w:val="18"/>
                <w:szCs w:val="18"/>
              </w:rPr>
              <w:t>N/A</w:t>
            </w:r>
          </w:p>
        </w:tc>
      </w:tr>
      <w:tr w:rsidR="007E7D58" w:rsidRPr="00961A47" w14:paraId="3A1B4439" w14:textId="77777777" w:rsidTr="001A36AA">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7382FDFA"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rsidTr="001A36AA">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5EB26146"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0D4937">
                  <w:rPr>
                    <w:rFonts w:ascii="MS Gothic" w:eastAsia="MS Gothic" w:hAnsi="MS Gothic" w:cs="Segoe UI Symbol" w:hint="eastAsia"/>
                    <w:b/>
                    <w:bCs/>
                    <w:sz w:val="18"/>
                    <w:szCs w:val="18"/>
                  </w:rPr>
                  <w:t>☒</w:t>
                </w:r>
              </w:sdtContent>
            </w:sdt>
          </w:p>
          <w:p w14:paraId="6AE812DC" w14:textId="546C25D0"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D23D38"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D23D38"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1007C2E" w14:textId="77777777" w:rsidR="009C2213" w:rsidRPr="00961A47" w:rsidRDefault="009C2213" w:rsidP="006F264A">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C0EAAE6" w14:textId="68B7C9CB" w:rsidR="009C2213" w:rsidRPr="00961A47" w:rsidRDefault="009C2213" w:rsidP="00305C69">
            <w:pPr>
              <w:tabs>
                <w:tab w:val="left" w:pos="709"/>
              </w:tabs>
              <w:rPr>
                <w:rFonts w:ascii="Arial" w:hAnsi="Arial" w:cs="Arial"/>
                <w:szCs w:val="22"/>
              </w:rPr>
            </w:pPr>
          </w:p>
        </w:tc>
      </w:tr>
      <w:tr w:rsidR="00D23D38"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D23D38"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FA98F28" w:rsidR="0034450F" w:rsidRPr="00694132" w:rsidRDefault="0034450F" w:rsidP="0034450F">
      <w:pPr>
        <w:rPr>
          <w:rFonts w:ascii="Calibri" w:hAnsi="Calibri" w:cs="Calibri"/>
          <w:sz w:val="18"/>
          <w:szCs w:val="18"/>
        </w:rPr>
      </w:pPr>
      <w:r w:rsidRPr="3E5E2F43">
        <w:rPr>
          <w:rFonts w:ascii="Arial" w:hAnsi="Arial" w:cs="Arial"/>
        </w:rPr>
        <w:t xml:space="preserve">The Customer’s Standard Good &amp; Services Terms and Conditions which </w:t>
      </w:r>
      <w:r w:rsidRPr="3E5E2F43">
        <w:rPr>
          <w:rStyle w:val="Important"/>
          <w:b w:val="0"/>
          <w:bCs w:val="0"/>
          <w:color w:val="auto"/>
        </w:rPr>
        <w:t>can be located on the</w:t>
      </w:r>
      <w:r w:rsidRPr="3E5E2F43">
        <w:rPr>
          <w:rStyle w:val="Important"/>
          <w:color w:val="auto"/>
        </w:rPr>
        <w:t xml:space="preserve"> </w:t>
      </w:r>
      <w:hyperlink r:id="rId18">
        <w:r w:rsidRPr="3E5E2F43">
          <w:rPr>
            <w:rStyle w:val="Hyperlink"/>
            <w:rFonts w:ascii="Arial" w:hAnsi="Arial" w:cs="Arial"/>
          </w:rPr>
          <w:t>Environment Agency Website</w:t>
        </w:r>
      </w:hyperlink>
      <w:r w:rsidRPr="3E5E2F43">
        <w:rPr>
          <w:rStyle w:val="Important"/>
        </w:rPr>
        <w:t xml:space="preserve"> </w:t>
      </w:r>
      <w:r w:rsidR="00005103" w:rsidRPr="3E5E2F43">
        <w:rPr>
          <w:rStyle w:val="Important"/>
        </w:rPr>
        <w:t xml:space="preserve"> </w:t>
      </w:r>
      <w:r w:rsidR="00005103" w:rsidRPr="3E5E2F43">
        <w:rPr>
          <w:rStyle w:val="Important"/>
          <w:b w:val="0"/>
          <w:bCs w:val="0"/>
          <w:color w:val="auto"/>
        </w:rPr>
        <w:t>and which are</w:t>
      </w:r>
      <w:r w:rsidRPr="3E5E2F43">
        <w:rPr>
          <w:rStyle w:val="Important"/>
          <w:b w:val="0"/>
          <w:bCs w:val="0"/>
          <w:color w:val="auto"/>
        </w:rPr>
        <w:t xml:space="preserve"> called ‘</w:t>
      </w:r>
      <w:hyperlink r:id="rId19" w:anchor="staff-and-key-personnel" w:history="1">
        <w:r w:rsidRPr="00F805A5">
          <w:rPr>
            <w:rStyle w:val="Hyperlink"/>
            <w:rFonts w:ascii="Arial" w:hAnsi="Arial" w:cs="Arial"/>
          </w:rPr>
          <w:t>Standard Goods &amp; Services Terms and Conditions (EA)</w:t>
        </w:r>
      </w:hyperlink>
      <w:r w:rsidRPr="3E5E2F43">
        <w:rPr>
          <w:rStyle w:val="Important"/>
          <w:b w:val="0"/>
          <w:bCs w:val="0"/>
          <w:color w:val="auto"/>
        </w:rPr>
        <w:t>’</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798F4E16" w:rsidR="0028704B" w:rsidRDefault="0028704B" w:rsidP="0028704B">
      <w:pPr>
        <w:jc w:val="center"/>
        <w:rPr>
          <w:b/>
          <w:bCs/>
        </w:rPr>
      </w:pPr>
    </w:p>
    <w:p w14:paraId="4E5F67DF" w14:textId="6B094CE5" w:rsidR="005C1CA6" w:rsidRDefault="005C1CA6" w:rsidP="005C1CA6">
      <w:pPr>
        <w:rPr>
          <w:rStyle w:val="Text"/>
        </w:rPr>
      </w:pPr>
      <w:r w:rsidRPr="5FA692FC">
        <w:rPr>
          <w:rStyle w:val="Text"/>
        </w:rPr>
        <w:t xml:space="preserve">Environment Agency radioactive substances regulation is seeking a contractor to review </w:t>
      </w:r>
      <w:r w:rsidR="00320A1B">
        <w:rPr>
          <w:rStyle w:val="Text"/>
        </w:rPr>
        <w:t xml:space="preserve">permit requirements of </w:t>
      </w:r>
      <w:r w:rsidRPr="5FA692FC">
        <w:rPr>
          <w:rStyle w:val="Text"/>
        </w:rPr>
        <w:t xml:space="preserve">Near Surface Disposal facilities for radioactive waste. </w:t>
      </w:r>
    </w:p>
    <w:p w14:paraId="320B9738" w14:textId="77777777" w:rsidR="005C1CA6" w:rsidRDefault="005C1CA6" w:rsidP="005C1CA6">
      <w:pPr>
        <w:rPr>
          <w:rStyle w:val="Text"/>
        </w:rPr>
      </w:pPr>
    </w:p>
    <w:p w14:paraId="3D20BDB7" w14:textId="2240FBE0" w:rsidR="005C1CA6" w:rsidRDefault="005C1CA6" w:rsidP="005C1CA6">
      <w:pPr>
        <w:rPr>
          <w:rStyle w:val="Text"/>
        </w:rPr>
      </w:pPr>
      <w:r w:rsidRPr="5FA692FC">
        <w:rPr>
          <w:rStyle w:val="Text"/>
        </w:rPr>
        <w:t>The Environment Agency is an independent environment regulator and as such require independence from operators in the work we complete. We therefore looking for suitable independence from our contractors who work on this project.</w:t>
      </w:r>
    </w:p>
    <w:p w14:paraId="6F296628" w14:textId="77777777" w:rsidR="005C1CA6" w:rsidRDefault="005C1CA6" w:rsidP="005C1CA6">
      <w:pPr>
        <w:rPr>
          <w:rStyle w:val="Text"/>
        </w:rPr>
      </w:pPr>
    </w:p>
    <w:p w14:paraId="2C1AD7F2" w14:textId="1F85E831" w:rsidR="005C1CA6" w:rsidRPr="005C1CA6" w:rsidRDefault="005C1CA6" w:rsidP="005C1CA6">
      <w:pPr>
        <w:rPr>
          <w:rStyle w:val="Text"/>
          <w:rFonts w:cs="Arial"/>
        </w:rPr>
      </w:pPr>
      <w:r w:rsidRPr="001804B4">
        <w:rPr>
          <w:rStyle w:val="Text"/>
        </w:rPr>
        <w:t xml:space="preserve">The UK </w:t>
      </w:r>
      <w:r>
        <w:rPr>
          <w:rStyle w:val="Text"/>
        </w:rPr>
        <w:t>Government has published a revised policy on managing radioactive substances and nuclear decommissioning [</w:t>
      </w:r>
      <w:r>
        <w:rPr>
          <w:rStyle w:val="FootnoteReference"/>
        </w:rPr>
        <w:footnoteReference w:id="2"/>
      </w:r>
      <w:r>
        <w:rPr>
          <w:rStyle w:val="Text"/>
        </w:rPr>
        <w:t xml:space="preserve">]. As part of the revised policy there is the intention to enable near surface disposal facilities to dispose of lower hazard Intermediate Level radioactive Waste </w:t>
      </w:r>
      <w:r w:rsidRPr="005C1CA6">
        <w:rPr>
          <w:rStyle w:val="Text"/>
          <w:rFonts w:cs="Arial"/>
        </w:rPr>
        <w:t>(ILW). There are already near-surface facilities internationally that dispose of ILW.</w:t>
      </w:r>
    </w:p>
    <w:p w14:paraId="569B512C" w14:textId="77777777" w:rsidR="005C1CA6" w:rsidRDefault="005C1CA6" w:rsidP="005C1CA6">
      <w:pPr>
        <w:rPr>
          <w:rFonts w:ascii="Arial" w:hAnsi="Arial" w:cs="Arial"/>
        </w:rPr>
      </w:pPr>
    </w:p>
    <w:p w14:paraId="1CDB16D0" w14:textId="6E011309" w:rsidR="005C1CA6" w:rsidRPr="005C1CA6" w:rsidRDefault="005C1CA6" w:rsidP="005C1CA6">
      <w:pPr>
        <w:rPr>
          <w:rFonts w:ascii="Arial" w:hAnsi="Arial" w:cs="Arial"/>
        </w:rPr>
      </w:pPr>
      <w:r w:rsidRPr="005C1CA6">
        <w:rPr>
          <w:rFonts w:ascii="Arial" w:hAnsi="Arial" w:cs="Arial"/>
        </w:rPr>
        <w:t xml:space="preserve">The project will collate national and international knowledge and practices on appropriate radioactive substance regulation permit requirements (e.g. relating to facility design, waste inventory, waste activity concentration, heterogeneity) for different near surface disposal facilities and settings to assist in making informed decisions on permit requirements. Project completion is scheduled for the end of </w:t>
      </w:r>
      <w:r w:rsidR="004F3D98">
        <w:rPr>
          <w:rFonts w:ascii="Arial" w:hAnsi="Arial" w:cs="Arial"/>
        </w:rPr>
        <w:t>August</w:t>
      </w:r>
      <w:r w:rsidRPr="005C1CA6">
        <w:rPr>
          <w:rFonts w:ascii="Arial" w:hAnsi="Arial" w:cs="Arial"/>
        </w:rPr>
        <w:t xml:space="preserve"> 2025.</w:t>
      </w:r>
    </w:p>
    <w:p w14:paraId="3636F187" w14:textId="77777777" w:rsidR="005C1CA6" w:rsidRDefault="005C1CA6" w:rsidP="00125515">
      <w:pPr>
        <w:rPr>
          <w:rFonts w:ascii="Arial" w:hAnsi="Arial" w:cs="Arial"/>
        </w:rPr>
      </w:pPr>
    </w:p>
    <w:p w14:paraId="0240AE7E" w14:textId="6E791567" w:rsidR="00125515" w:rsidRDefault="00125515" w:rsidP="00125515">
      <w:pPr>
        <w:rPr>
          <w:rFonts w:ascii="Arial" w:hAnsi="Arial" w:cs="Arial"/>
        </w:rPr>
      </w:pPr>
      <w:r w:rsidRPr="00AD7776">
        <w:rPr>
          <w:rFonts w:ascii="Arial" w:hAnsi="Arial" w:cs="Arial"/>
        </w:rPr>
        <w:t>Task 1 – Identification of Case Studies (10-14 days)</w:t>
      </w:r>
    </w:p>
    <w:p w14:paraId="6B626200" w14:textId="77777777" w:rsidR="001F745E" w:rsidRPr="00AD7776" w:rsidRDefault="001F745E" w:rsidP="00125515">
      <w:pPr>
        <w:rPr>
          <w:rFonts w:ascii="Arial" w:hAnsi="Arial" w:cs="Arial"/>
        </w:rPr>
      </w:pPr>
    </w:p>
    <w:p w14:paraId="0672D7FE" w14:textId="77777777" w:rsidR="00125515" w:rsidRPr="00AD7776" w:rsidRDefault="00125515" w:rsidP="00125515">
      <w:pPr>
        <w:rPr>
          <w:rFonts w:ascii="Arial" w:hAnsi="Arial" w:cs="Arial"/>
        </w:rPr>
      </w:pPr>
      <w:r w:rsidRPr="00AD7776">
        <w:rPr>
          <w:rFonts w:ascii="Arial" w:hAnsi="Arial" w:cs="Arial"/>
        </w:rPr>
        <w:t>A set of country-specific case studies should be developed to enable the information availability for subsequent use in Task 2 to be determined.  For each case study, as a minimum, the following information should be collated.</w:t>
      </w:r>
    </w:p>
    <w:p w14:paraId="7ED4D1EF" w14:textId="77777777" w:rsidR="00125515" w:rsidRPr="00AD7776" w:rsidRDefault="00125515" w:rsidP="00125515">
      <w:pPr>
        <w:pStyle w:val="BulletText1"/>
        <w:rPr>
          <w:rFonts w:ascii="Arial" w:hAnsi="Arial" w:cs="Arial"/>
          <w:color w:val="000000" w:themeColor="text1"/>
        </w:rPr>
      </w:pPr>
      <w:r w:rsidRPr="00AD7776">
        <w:rPr>
          <w:rFonts w:ascii="Arial" w:hAnsi="Arial" w:cs="Arial"/>
          <w:color w:val="000000" w:themeColor="text1"/>
        </w:rPr>
        <w:t>Disposal facility/ies: name, geographical location, status (e.g. construction/operational/closed)</w:t>
      </w:r>
    </w:p>
    <w:p w14:paraId="4586CA88" w14:textId="77777777" w:rsidR="00125515" w:rsidRPr="00AD7776" w:rsidRDefault="00125515" w:rsidP="00125515">
      <w:pPr>
        <w:pStyle w:val="BulletText1"/>
        <w:rPr>
          <w:rFonts w:ascii="Arial" w:hAnsi="Arial" w:cs="Arial"/>
          <w:color w:val="000000" w:themeColor="text1"/>
        </w:rPr>
      </w:pPr>
      <w:r w:rsidRPr="00AD7776">
        <w:rPr>
          <w:rFonts w:ascii="Arial" w:hAnsi="Arial" w:cs="Arial"/>
          <w:color w:val="000000" w:themeColor="text1"/>
        </w:rPr>
        <w:t>Design: near surface/subsurface, host geology, engineered structures</w:t>
      </w:r>
    </w:p>
    <w:p w14:paraId="5F1492C1" w14:textId="77777777" w:rsidR="00125515" w:rsidRPr="00AD7776" w:rsidRDefault="00125515" w:rsidP="00125515">
      <w:pPr>
        <w:pStyle w:val="BulletText1"/>
        <w:rPr>
          <w:rFonts w:ascii="Arial" w:hAnsi="Arial" w:cs="Arial"/>
          <w:color w:val="000000" w:themeColor="text1"/>
        </w:rPr>
      </w:pPr>
      <w:r w:rsidRPr="00AD7776">
        <w:rPr>
          <w:rFonts w:ascii="Arial" w:hAnsi="Arial" w:cs="Arial"/>
          <w:color w:val="000000" w:themeColor="text1"/>
        </w:rPr>
        <w:t>Inventory: waste categories, wasteforms</w:t>
      </w:r>
    </w:p>
    <w:p w14:paraId="334EDDAA" w14:textId="77777777" w:rsidR="00125515" w:rsidRPr="00AD7776" w:rsidRDefault="00125515" w:rsidP="00125515">
      <w:pPr>
        <w:pStyle w:val="BulletText1"/>
        <w:rPr>
          <w:rFonts w:ascii="Arial" w:hAnsi="Arial" w:cs="Arial"/>
          <w:color w:val="000000" w:themeColor="text1"/>
        </w:rPr>
      </w:pPr>
      <w:r w:rsidRPr="00AD7776">
        <w:rPr>
          <w:rFonts w:ascii="Arial" w:hAnsi="Arial" w:cs="Arial"/>
          <w:color w:val="000000" w:themeColor="text1"/>
        </w:rPr>
        <w:t>Accessibility of information: policy on radioactive waste management/disposal, operator permit/licence, WAC, long-term safety case, availability of the reporting of detailed safety assessments, regulatory guidance</w:t>
      </w:r>
    </w:p>
    <w:p w14:paraId="739A9DA5" w14:textId="77777777" w:rsidR="00125515" w:rsidRPr="00AD7776" w:rsidRDefault="00125515" w:rsidP="00125515">
      <w:pPr>
        <w:rPr>
          <w:rFonts w:ascii="Arial" w:hAnsi="Arial" w:cs="Arial"/>
        </w:rPr>
      </w:pPr>
      <w:r w:rsidRPr="00AD7776">
        <w:rPr>
          <w:rFonts w:ascii="Arial" w:hAnsi="Arial" w:cs="Arial"/>
        </w:rPr>
        <w:t>The contractor should allow for 8-10 case studies including both surface and sub-surface waste disposal facilities in Belgium, Canada, France, Japan, South Africa, Spain, Sweden and the USA as a minimum.  The contractor should use their experience to propose additional case studies for consideration. The long-list of case studies shall be agreed at the commencement of the contract.</w:t>
      </w:r>
    </w:p>
    <w:p w14:paraId="6D0470D1" w14:textId="77777777" w:rsidR="00AD7776" w:rsidRDefault="00AD7776" w:rsidP="00125515">
      <w:pPr>
        <w:rPr>
          <w:rFonts w:ascii="Arial" w:hAnsi="Arial" w:cs="Arial"/>
        </w:rPr>
      </w:pPr>
    </w:p>
    <w:p w14:paraId="0D9EA972" w14:textId="5C7AC5D5" w:rsidR="00125515" w:rsidRPr="00AD7776" w:rsidRDefault="00125515" w:rsidP="00125515">
      <w:pPr>
        <w:rPr>
          <w:rFonts w:ascii="Arial" w:hAnsi="Arial" w:cs="Arial"/>
        </w:rPr>
      </w:pPr>
      <w:r w:rsidRPr="00AD7776">
        <w:rPr>
          <w:rFonts w:ascii="Arial" w:hAnsi="Arial" w:cs="Arial"/>
        </w:rPr>
        <w:t xml:space="preserve">Task 2 – Analysis of Case Studies (20-24 days) </w:t>
      </w:r>
    </w:p>
    <w:p w14:paraId="5B063EB2" w14:textId="77777777" w:rsidR="00AD7776" w:rsidRPr="00AD7776" w:rsidRDefault="00AD7776" w:rsidP="00125515">
      <w:pPr>
        <w:rPr>
          <w:rStyle w:val="Text"/>
          <w:rFonts w:cs="Arial"/>
        </w:rPr>
      </w:pPr>
    </w:p>
    <w:p w14:paraId="1AD7407A" w14:textId="77777777" w:rsidR="00125515" w:rsidRPr="00AD7776" w:rsidRDefault="00125515" w:rsidP="00125515">
      <w:pPr>
        <w:rPr>
          <w:rStyle w:val="Text"/>
          <w:rFonts w:cs="Arial"/>
        </w:rPr>
      </w:pPr>
      <w:r w:rsidRPr="00AD7776">
        <w:rPr>
          <w:rStyle w:val="Text"/>
          <w:rFonts w:cs="Arial"/>
        </w:rPr>
        <w:t>For each case study a review should be undertaken to cover limits, controls and conditions related to the following:</w:t>
      </w:r>
    </w:p>
    <w:p w14:paraId="4ED1356D" w14:textId="77777777" w:rsidR="00125515" w:rsidRPr="00AD7776" w:rsidRDefault="00125515" w:rsidP="00125515">
      <w:pPr>
        <w:pStyle w:val="BulletText2"/>
        <w:rPr>
          <w:rStyle w:val="Text"/>
          <w:rFonts w:cs="Arial"/>
          <w:color w:val="000000" w:themeColor="text1"/>
        </w:rPr>
      </w:pPr>
      <w:r w:rsidRPr="00AD7776">
        <w:rPr>
          <w:rStyle w:val="Text"/>
          <w:rFonts w:cs="Arial"/>
          <w:color w:val="000000" w:themeColor="text1"/>
        </w:rPr>
        <w:t>waste mixing and dilution.</w:t>
      </w:r>
    </w:p>
    <w:p w14:paraId="4AFB7DC6" w14:textId="77777777" w:rsidR="00125515" w:rsidRPr="00AD7776" w:rsidRDefault="00125515" w:rsidP="00125515">
      <w:pPr>
        <w:pStyle w:val="BulletText2"/>
        <w:rPr>
          <w:rStyle w:val="Text"/>
          <w:rFonts w:cs="Arial"/>
          <w:color w:val="000000" w:themeColor="text1"/>
        </w:rPr>
      </w:pPr>
      <w:r w:rsidRPr="00AD7776">
        <w:rPr>
          <w:rStyle w:val="Text"/>
          <w:rFonts w:cs="Arial"/>
          <w:color w:val="000000" w:themeColor="text1"/>
        </w:rPr>
        <w:t>waste heterogeneity.</w:t>
      </w:r>
    </w:p>
    <w:p w14:paraId="2D14F357" w14:textId="77777777" w:rsidR="00125515" w:rsidRPr="00AD7776" w:rsidRDefault="00125515" w:rsidP="00125515">
      <w:pPr>
        <w:pStyle w:val="BulletText2"/>
        <w:rPr>
          <w:rStyle w:val="Text"/>
          <w:rFonts w:cs="Arial"/>
          <w:color w:val="000000" w:themeColor="text1"/>
        </w:rPr>
      </w:pPr>
      <w:r w:rsidRPr="00AD7776">
        <w:rPr>
          <w:rStyle w:val="Text"/>
          <w:rFonts w:cs="Arial"/>
          <w:color w:val="000000" w:themeColor="text1"/>
        </w:rPr>
        <w:t>waste activity concentrations.</w:t>
      </w:r>
    </w:p>
    <w:p w14:paraId="17C8255A" w14:textId="77777777" w:rsidR="00125515" w:rsidRPr="00AD7776" w:rsidRDefault="00125515" w:rsidP="00125515">
      <w:pPr>
        <w:pStyle w:val="BulletText2"/>
        <w:rPr>
          <w:rStyle w:val="Text"/>
          <w:rFonts w:cs="Arial"/>
          <w:color w:val="000000" w:themeColor="text1"/>
        </w:rPr>
      </w:pPr>
      <w:r w:rsidRPr="00AD7776">
        <w:rPr>
          <w:rStyle w:val="Text"/>
          <w:rFonts w:cs="Arial"/>
          <w:color w:val="000000" w:themeColor="text1"/>
        </w:rPr>
        <w:t>waste package limits.</w:t>
      </w:r>
    </w:p>
    <w:p w14:paraId="744DB1E1" w14:textId="77777777" w:rsidR="00125515" w:rsidRPr="00AD7776" w:rsidRDefault="00125515" w:rsidP="00125515">
      <w:pPr>
        <w:pStyle w:val="BulletText2"/>
        <w:rPr>
          <w:rStyle w:val="Text"/>
          <w:rFonts w:cs="Arial"/>
          <w:color w:val="000000" w:themeColor="text1"/>
        </w:rPr>
      </w:pPr>
      <w:r w:rsidRPr="00AD7776">
        <w:rPr>
          <w:rStyle w:val="Text"/>
          <w:rFonts w:cs="Arial"/>
          <w:color w:val="000000" w:themeColor="text1"/>
        </w:rPr>
        <w:t>waste inventory limits; both annual limits and lifetime limits (i.e. site radiological capacity).</w:t>
      </w:r>
    </w:p>
    <w:p w14:paraId="63ADE9D1" w14:textId="77777777" w:rsidR="00125515" w:rsidRPr="00AD7776" w:rsidRDefault="00125515" w:rsidP="00125515">
      <w:pPr>
        <w:pStyle w:val="BulletText2"/>
        <w:rPr>
          <w:rStyle w:val="Text"/>
          <w:rFonts w:cs="Arial"/>
          <w:color w:val="000000" w:themeColor="text1"/>
        </w:rPr>
      </w:pPr>
      <w:r w:rsidRPr="00AD7776">
        <w:rPr>
          <w:rStyle w:val="Text"/>
          <w:rFonts w:cs="Arial"/>
          <w:color w:val="000000" w:themeColor="text1"/>
        </w:rPr>
        <w:lastRenderedPageBreak/>
        <w:t>nuclear criticality</w:t>
      </w:r>
    </w:p>
    <w:p w14:paraId="21EFD21E" w14:textId="77777777" w:rsidR="00125515" w:rsidRPr="00AD7776" w:rsidRDefault="00125515" w:rsidP="00125515">
      <w:pPr>
        <w:pStyle w:val="BulletText2"/>
        <w:rPr>
          <w:rStyle w:val="Text"/>
          <w:rFonts w:cs="Arial"/>
          <w:color w:val="000000" w:themeColor="text1"/>
        </w:rPr>
      </w:pPr>
      <w:r w:rsidRPr="00AD7776">
        <w:rPr>
          <w:rStyle w:val="Text"/>
          <w:rFonts w:cs="Arial"/>
          <w:color w:val="000000" w:themeColor="text1"/>
        </w:rPr>
        <w:t>consideration of non-radioactive chemo-toxic contaminants.</w:t>
      </w:r>
    </w:p>
    <w:p w14:paraId="085C7E8D" w14:textId="77777777" w:rsidR="00125515" w:rsidRPr="00AD7776" w:rsidRDefault="00125515" w:rsidP="00125515">
      <w:pPr>
        <w:rPr>
          <w:rFonts w:ascii="Arial" w:hAnsi="Arial" w:cs="Arial"/>
        </w:rPr>
      </w:pPr>
      <w:r w:rsidRPr="00AD7776">
        <w:rPr>
          <w:rFonts w:ascii="Arial" w:hAnsi="Arial" w:cs="Arial"/>
        </w:rPr>
        <w:t>The review should include consideration of the nature of the assessments (e.g. type of scenario, level of conservatism) that were used develop the limits, controls and conditions.  It should identify the principal factors used in decision-making, particularly identifying the use of risk-informed approaches, and identifying where specific national or regulatory requirements have been specified for assessments.</w:t>
      </w:r>
    </w:p>
    <w:p w14:paraId="5F6F9CCB" w14:textId="77777777" w:rsidR="00125515" w:rsidRPr="00AD7776" w:rsidRDefault="00125515" w:rsidP="00125515">
      <w:pPr>
        <w:rPr>
          <w:rFonts w:ascii="Arial" w:hAnsi="Arial" w:cs="Arial"/>
        </w:rPr>
      </w:pPr>
      <w:r w:rsidRPr="00AD7776">
        <w:rPr>
          <w:rFonts w:ascii="Arial" w:hAnsi="Arial" w:cs="Arial"/>
        </w:rPr>
        <w:t>The review of approaches taken in other countries could be informed by use of a questionnaire and or virtual meetings with national regulators to gain further insight into current practices and decision making on near surface disposal.  If the contractor does not have their own links with national regulators or other contractors with such links then they should notify the Environment Agency and we may be able to facilitate such links, as required.</w:t>
      </w:r>
    </w:p>
    <w:p w14:paraId="57DF1314" w14:textId="77777777" w:rsidR="00125515" w:rsidRPr="00AD7776" w:rsidRDefault="00125515" w:rsidP="00125515">
      <w:pPr>
        <w:rPr>
          <w:rFonts w:ascii="Arial" w:hAnsi="Arial" w:cs="Arial"/>
        </w:rPr>
      </w:pPr>
      <w:r w:rsidRPr="00AD7776">
        <w:rPr>
          <w:rFonts w:ascii="Arial" w:hAnsi="Arial" w:cs="Arial"/>
        </w:rPr>
        <w:t>The contractor should allow for the analysis of 4-5 case studies. The short-list of case studies shall be agreed at the end of Task 1.</w:t>
      </w:r>
    </w:p>
    <w:p w14:paraId="23EBBF5B" w14:textId="77777777" w:rsidR="00125515" w:rsidRPr="00AD7776" w:rsidRDefault="00125515" w:rsidP="00125515">
      <w:pPr>
        <w:rPr>
          <w:rFonts w:ascii="Arial" w:hAnsi="Arial" w:cs="Arial"/>
        </w:rPr>
      </w:pPr>
      <w:r w:rsidRPr="00AD7776">
        <w:rPr>
          <w:rFonts w:ascii="Arial" w:hAnsi="Arial" w:cs="Arial"/>
        </w:rPr>
        <w:t>Based on their experience of near-surface radioactive waste disposal performance / environmental safety assessments and using examples from analysis of the case studies, the contractor should provide a written discussion of the relevant factors that the Environment Agency should consider when regulating the risk-informed operation of radioactive waste disposal facilities.</w:t>
      </w:r>
    </w:p>
    <w:p w14:paraId="74D81CB4" w14:textId="77777777" w:rsidR="00AD7776" w:rsidRDefault="00AD7776" w:rsidP="00125515">
      <w:pPr>
        <w:rPr>
          <w:rFonts w:ascii="Arial" w:hAnsi="Arial" w:cs="Arial"/>
        </w:rPr>
      </w:pPr>
    </w:p>
    <w:p w14:paraId="2618DEC7" w14:textId="7E82A3F0" w:rsidR="00125515" w:rsidRDefault="00125515" w:rsidP="00125515">
      <w:pPr>
        <w:rPr>
          <w:rFonts w:ascii="Arial" w:hAnsi="Arial" w:cs="Arial"/>
        </w:rPr>
      </w:pPr>
      <w:r w:rsidRPr="00AD7776">
        <w:rPr>
          <w:rFonts w:ascii="Arial" w:hAnsi="Arial" w:cs="Arial"/>
        </w:rPr>
        <w:t>Task 3 – Management and reporting (6-8 days)</w:t>
      </w:r>
    </w:p>
    <w:p w14:paraId="6A952619" w14:textId="77777777" w:rsidR="001F745E" w:rsidRPr="00AD7776" w:rsidRDefault="001F745E" w:rsidP="00125515">
      <w:pPr>
        <w:rPr>
          <w:rFonts w:ascii="Arial" w:hAnsi="Arial" w:cs="Arial"/>
        </w:rPr>
      </w:pPr>
    </w:p>
    <w:p w14:paraId="23272E2B" w14:textId="77777777" w:rsidR="00125515" w:rsidRPr="00AD7776" w:rsidRDefault="00125515" w:rsidP="00125515">
      <w:pPr>
        <w:rPr>
          <w:rFonts w:ascii="Arial" w:hAnsi="Arial" w:cs="Arial"/>
        </w:rPr>
      </w:pPr>
      <w:r w:rsidRPr="00AD7776">
        <w:rPr>
          <w:rFonts w:ascii="Arial" w:hAnsi="Arial" w:cs="Arial"/>
        </w:rPr>
        <w:t>A start-up meeting shall be arranged at the outset of the contract to discuss the general work activities and to confirm the long list of case studies. Routine progress meetings shall be arranged through the contract to monitor progress and discuss any matters affecting the work.</w:t>
      </w:r>
    </w:p>
    <w:p w14:paraId="3122F21A" w14:textId="77777777" w:rsidR="00125515" w:rsidRPr="00AD7776" w:rsidRDefault="00125515" w:rsidP="00125515">
      <w:pPr>
        <w:rPr>
          <w:rFonts w:ascii="Arial" w:hAnsi="Arial" w:cs="Arial"/>
        </w:rPr>
      </w:pPr>
      <w:r w:rsidRPr="00AD7776">
        <w:rPr>
          <w:rFonts w:ascii="Arial" w:hAnsi="Arial" w:cs="Arial"/>
        </w:rPr>
        <w:t>Following the completion of Task 1 a meeting shall be held with the Environment to discuss to outcomes, and to confirm the case studies to be taken into Task 2.</w:t>
      </w:r>
    </w:p>
    <w:p w14:paraId="24AE980E" w14:textId="77777777" w:rsidR="00125515" w:rsidRPr="00AD7776" w:rsidRDefault="00125515" w:rsidP="00125515">
      <w:pPr>
        <w:rPr>
          <w:rFonts w:ascii="Arial" w:hAnsi="Arial" w:cs="Arial"/>
        </w:rPr>
      </w:pPr>
      <w:r w:rsidRPr="00AD7776">
        <w:rPr>
          <w:rFonts w:ascii="Arial" w:hAnsi="Arial" w:cs="Arial"/>
        </w:rPr>
        <w:t>Following the completion of Task 2 a report should be produced summarising all the work activities. A contractor-approved draft final report shall be provided to the Environment Agency for review and a meeting shall be held to discuss feedback. A contractor-approved final report which addresses the feedback and discussions shall then be provided to the Environment Agency.</w:t>
      </w:r>
    </w:p>
    <w:p w14:paraId="1F0A7A86" w14:textId="590C04EF" w:rsidR="00964799" w:rsidRDefault="00125515" w:rsidP="00125515">
      <w:pPr>
        <w:rPr>
          <w:b/>
          <w:bCs/>
        </w:rPr>
      </w:pPr>
      <w:r w:rsidRPr="00AD7776">
        <w:rPr>
          <w:rFonts w:ascii="Arial" w:hAnsi="Arial" w:cs="Arial"/>
        </w:rPr>
        <w:t>Following submission of the final report the contractor shall be invited to present the contract to relevant colleagues in the Environment Agency to encourage wider awareness and dissemination of the work.</w:t>
      </w:r>
      <w:r w:rsidR="00964799" w:rsidRPr="00AD7776">
        <w:rPr>
          <w:rFonts w:ascii="Arial" w:hAnsi="Arial" w:cs="Arial"/>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35CFD241"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3E5E2F43">
        <w:trPr>
          <w:trHeight w:hRule="exact" w:val="168"/>
        </w:trPr>
        <w:tc>
          <w:tcPr>
            <w:tcW w:w="3246" w:type="dxa"/>
            <w:vMerge w:val="restart"/>
            <w:tcBorders>
              <w:top w:val="single" w:sz="5" w:space="0" w:color="000000" w:themeColor="text1"/>
              <w:left w:val="single" w:sz="5" w:space="0" w:color="000000" w:themeColor="text1"/>
              <w:bottom w:val="single" w:sz="2" w:space="0" w:color="000000" w:themeColor="text1"/>
              <w:right w:val="single" w:sz="5" w:space="0" w:color="000000" w:themeColor="text1"/>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none" w:sz="0" w:space="0" w:color="020000"/>
              <w:right w:val="single" w:sz="5" w:space="0" w:color="000000" w:themeColor="text1"/>
            </w:tcBorders>
            <w:shd w:val="clear" w:color="auto" w:fill="BFBFBF" w:themeFill="background1" w:themeFillShade="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3E5E2F43">
        <w:trPr>
          <w:trHeight w:hRule="exact" w:val="120"/>
        </w:trPr>
        <w:tc>
          <w:tcPr>
            <w:tcW w:w="3246" w:type="dxa"/>
            <w:vMerge/>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themeColor="text1"/>
              <w:right w:val="single" w:sz="5" w:space="0" w:color="000000" w:themeColor="text1"/>
            </w:tcBorders>
            <w:shd w:val="clear" w:color="auto" w:fill="BFBFBF" w:themeFill="background1" w:themeFillShade="BF"/>
            <w:vAlign w:val="center"/>
          </w:tcPr>
          <w:p w14:paraId="5D288538" w14:textId="627D2783" w:rsidR="00137FF0" w:rsidRPr="00852203" w:rsidRDefault="00137FF0" w:rsidP="000C7CF6">
            <w:pPr>
              <w:tabs>
                <w:tab w:val="left" w:pos="709"/>
              </w:tabs>
              <w:spacing w:after="120"/>
              <w:jc w:val="center"/>
              <w:rPr>
                <w:rFonts w:ascii="Arial" w:eastAsia="Arial" w:hAnsi="Arial" w:cs="Arial"/>
                <w:b/>
                <w:color w:val="000000"/>
                <w:sz w:val="18"/>
                <w:szCs w:val="18"/>
              </w:rPr>
            </w:pPr>
          </w:p>
        </w:tc>
      </w:tr>
      <w:tr w:rsidR="00137FF0" w:rsidRPr="00961A47" w14:paraId="2EB932A7" w14:textId="77777777" w:rsidTr="3E5E2F43">
        <w:trPr>
          <w:trHeight w:val="689"/>
        </w:trPr>
        <w:tc>
          <w:tcPr>
            <w:tcW w:w="3246" w:type="dxa"/>
            <w:tcBorders>
              <w:top w:val="none" w:sz="0" w:space="0" w:color="020000"/>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3E5E2F43">
        <w:trPr>
          <w:trHeight w:hRule="exact" w:val="578"/>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A70F32A" w14:textId="18F821E9" w:rsidR="00137FF0" w:rsidRPr="00137FF0" w:rsidRDefault="00137FF0" w:rsidP="000C7CF6">
            <w:pPr>
              <w:tabs>
                <w:tab w:val="left" w:pos="709"/>
              </w:tabs>
              <w:spacing w:after="120"/>
              <w:jc w:val="center"/>
              <w:rPr>
                <w:rFonts w:ascii="Arial" w:eastAsia="Arial" w:hAnsi="Arial" w:cs="Arial"/>
                <w:color w:val="000000"/>
                <w:sz w:val="18"/>
                <w:szCs w:val="18"/>
              </w:rPr>
            </w:pPr>
          </w:p>
        </w:tc>
      </w:tr>
      <w:tr w:rsidR="00137FF0" w:rsidRPr="00961A47" w14:paraId="59F20E80" w14:textId="77777777" w:rsidTr="3E5E2F43">
        <w:trPr>
          <w:trHeight w:hRule="exact" w:val="101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3E5E2F43">
        <w:trPr>
          <w:trHeight w:hRule="exact" w:val="125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2C94CB"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47DABE88" w14:textId="77777777" w:rsidTr="3E5E2F43">
        <w:trPr>
          <w:trHeight w:hRule="exact" w:val="97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68A0B"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3E5E2F43">
        <w:trPr>
          <w:trHeight w:hRule="exact" w:val="40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3E5E2F43">
        <w:trPr>
          <w:trHeight w:hRule="exact" w:val="71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3E5E2F43">
        <w:trPr>
          <w:trHeight w:hRule="exact" w:val="84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3E5E2F43">
        <w:trPr>
          <w:trHeight w:hRule="exact" w:val="69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3E5E2F43">
        <w:trPr>
          <w:trHeight w:hRule="exact" w:val="104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3E5E2F43">
        <w:trPr>
          <w:trHeight w:hRule="exact" w:val="86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3E5E2F43">
        <w:trPr>
          <w:trHeight w:hRule="exact" w:val="1836"/>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3E5E2F43">
              <w:rPr>
                <w:rFonts w:ascii="Arial" w:eastAsia="Arial" w:hAnsi="Arial" w:cs="Arial"/>
                <w:color w:val="000000" w:themeColor="text1"/>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0"/>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A6FB" w14:textId="77777777" w:rsidR="00185826" w:rsidRDefault="00185826" w:rsidP="006D4D44">
      <w:r>
        <w:separator/>
      </w:r>
    </w:p>
  </w:endnote>
  <w:endnote w:type="continuationSeparator" w:id="0">
    <w:p w14:paraId="43E02F31" w14:textId="77777777" w:rsidR="00185826" w:rsidRDefault="00185826" w:rsidP="006D4D44">
      <w:r>
        <w:continuationSeparator/>
      </w:r>
    </w:p>
  </w:endnote>
  <w:endnote w:type="continuationNotice" w:id="1">
    <w:p w14:paraId="5164A322" w14:textId="77777777" w:rsidR="00185826" w:rsidRDefault="00185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3DF2" w14:textId="77777777" w:rsidR="00185826" w:rsidRDefault="00185826" w:rsidP="006D4D44">
      <w:r>
        <w:separator/>
      </w:r>
    </w:p>
  </w:footnote>
  <w:footnote w:type="continuationSeparator" w:id="0">
    <w:p w14:paraId="5583A51E" w14:textId="77777777" w:rsidR="00185826" w:rsidRDefault="00185826" w:rsidP="006D4D44">
      <w:r>
        <w:continuationSeparator/>
      </w:r>
    </w:p>
  </w:footnote>
  <w:footnote w:type="continuationNotice" w:id="1">
    <w:p w14:paraId="72F5F1DD" w14:textId="77777777" w:rsidR="00185826" w:rsidRDefault="00185826"/>
  </w:footnote>
  <w:footnote w:id="2">
    <w:p w14:paraId="1C06F05F" w14:textId="77777777" w:rsidR="005C1CA6" w:rsidRDefault="005C1CA6" w:rsidP="005C1CA6">
      <w:pPr>
        <w:pStyle w:val="FootnoteText"/>
      </w:pPr>
      <w:r>
        <w:rPr>
          <w:rStyle w:val="FootnoteReference"/>
        </w:rPr>
        <w:footnoteRef/>
      </w:r>
      <w:r>
        <w:t xml:space="preserve"> </w:t>
      </w:r>
      <w:hyperlink r:id="rId1" w:history="1">
        <w:r w:rsidRPr="00F63862">
          <w:rPr>
            <w:rStyle w:val="Hyperlink"/>
          </w:rPr>
          <w:t>Managing Radioactive Substances and Nuclear Decommissioning: UK policy framework (publishing.service.gov.uk)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3"/>
  </w:num>
  <w:num w:numId="11" w16cid:durableId="2083286213">
    <w:abstractNumId w:val="4"/>
  </w:num>
  <w:num w:numId="12" w16cid:durableId="241069624">
    <w:abstractNumId w:val="6"/>
  </w:num>
  <w:num w:numId="13" w16cid:durableId="135223162">
    <w:abstractNumId w:val="12"/>
  </w:num>
  <w:num w:numId="14" w16cid:durableId="189250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0619A"/>
    <w:rsid w:val="00012080"/>
    <w:rsid w:val="00031050"/>
    <w:rsid w:val="000465D8"/>
    <w:rsid w:val="00051580"/>
    <w:rsid w:val="00060369"/>
    <w:rsid w:val="00067FA0"/>
    <w:rsid w:val="00090B3C"/>
    <w:rsid w:val="00093053"/>
    <w:rsid w:val="000942A4"/>
    <w:rsid w:val="00096F62"/>
    <w:rsid w:val="00097664"/>
    <w:rsid w:val="000A32FC"/>
    <w:rsid w:val="000B50E0"/>
    <w:rsid w:val="000D3162"/>
    <w:rsid w:val="000D4937"/>
    <w:rsid w:val="000D4BA5"/>
    <w:rsid w:val="000D6A64"/>
    <w:rsid w:val="000E216C"/>
    <w:rsid w:val="000E22F5"/>
    <w:rsid w:val="000E2930"/>
    <w:rsid w:val="000E32A9"/>
    <w:rsid w:val="000E43D4"/>
    <w:rsid w:val="00101576"/>
    <w:rsid w:val="00103233"/>
    <w:rsid w:val="00103D5D"/>
    <w:rsid w:val="00106DEB"/>
    <w:rsid w:val="00107516"/>
    <w:rsid w:val="00107BD9"/>
    <w:rsid w:val="0011095C"/>
    <w:rsid w:val="00112FA7"/>
    <w:rsid w:val="0011437C"/>
    <w:rsid w:val="00117472"/>
    <w:rsid w:val="00125515"/>
    <w:rsid w:val="001310B1"/>
    <w:rsid w:val="00136FA3"/>
    <w:rsid w:val="00137FF0"/>
    <w:rsid w:val="00140E15"/>
    <w:rsid w:val="001507BD"/>
    <w:rsid w:val="00152BE0"/>
    <w:rsid w:val="0018116A"/>
    <w:rsid w:val="00184C46"/>
    <w:rsid w:val="00185826"/>
    <w:rsid w:val="00191411"/>
    <w:rsid w:val="001A5EE7"/>
    <w:rsid w:val="001A756C"/>
    <w:rsid w:val="001A7EE6"/>
    <w:rsid w:val="001B4F0A"/>
    <w:rsid w:val="001B5D95"/>
    <w:rsid w:val="001E2F8D"/>
    <w:rsid w:val="001E3F05"/>
    <w:rsid w:val="001E591E"/>
    <w:rsid w:val="001E7197"/>
    <w:rsid w:val="001E7201"/>
    <w:rsid w:val="001E774C"/>
    <w:rsid w:val="001F3739"/>
    <w:rsid w:val="001F43D2"/>
    <w:rsid w:val="001F5628"/>
    <w:rsid w:val="001F56D9"/>
    <w:rsid w:val="001F7295"/>
    <w:rsid w:val="001F745E"/>
    <w:rsid w:val="001F7939"/>
    <w:rsid w:val="0020641D"/>
    <w:rsid w:val="00213D71"/>
    <w:rsid w:val="00217546"/>
    <w:rsid w:val="00221B28"/>
    <w:rsid w:val="002312B7"/>
    <w:rsid w:val="002316D2"/>
    <w:rsid w:val="00245322"/>
    <w:rsid w:val="00252654"/>
    <w:rsid w:val="00260BC4"/>
    <w:rsid w:val="00261E81"/>
    <w:rsid w:val="002775EE"/>
    <w:rsid w:val="00277EB3"/>
    <w:rsid w:val="00280C77"/>
    <w:rsid w:val="0028352A"/>
    <w:rsid w:val="00283FDA"/>
    <w:rsid w:val="0028704B"/>
    <w:rsid w:val="0029726B"/>
    <w:rsid w:val="002A6CE8"/>
    <w:rsid w:val="002A7641"/>
    <w:rsid w:val="002C1053"/>
    <w:rsid w:val="002D71E6"/>
    <w:rsid w:val="002F2543"/>
    <w:rsid w:val="002F6BDB"/>
    <w:rsid w:val="002F6F29"/>
    <w:rsid w:val="0030291B"/>
    <w:rsid w:val="00306F3A"/>
    <w:rsid w:val="003112A2"/>
    <w:rsid w:val="00320A1B"/>
    <w:rsid w:val="00327A86"/>
    <w:rsid w:val="0034450F"/>
    <w:rsid w:val="00354A0D"/>
    <w:rsid w:val="003561B6"/>
    <w:rsid w:val="00357164"/>
    <w:rsid w:val="00363615"/>
    <w:rsid w:val="003646C1"/>
    <w:rsid w:val="00365728"/>
    <w:rsid w:val="0036572E"/>
    <w:rsid w:val="003714F6"/>
    <w:rsid w:val="00376465"/>
    <w:rsid w:val="003814A0"/>
    <w:rsid w:val="00390010"/>
    <w:rsid w:val="00392B73"/>
    <w:rsid w:val="003975F1"/>
    <w:rsid w:val="003B17EB"/>
    <w:rsid w:val="003B73DB"/>
    <w:rsid w:val="003C4D8D"/>
    <w:rsid w:val="003C5187"/>
    <w:rsid w:val="003D0114"/>
    <w:rsid w:val="003E02E2"/>
    <w:rsid w:val="003E0478"/>
    <w:rsid w:val="003E1946"/>
    <w:rsid w:val="003E3F57"/>
    <w:rsid w:val="003F2057"/>
    <w:rsid w:val="003F3FC3"/>
    <w:rsid w:val="003F40DF"/>
    <w:rsid w:val="004028F1"/>
    <w:rsid w:val="00416C07"/>
    <w:rsid w:val="00417BD4"/>
    <w:rsid w:val="00420833"/>
    <w:rsid w:val="00424368"/>
    <w:rsid w:val="00425D5F"/>
    <w:rsid w:val="00431E7C"/>
    <w:rsid w:val="00446278"/>
    <w:rsid w:val="0045719F"/>
    <w:rsid w:val="00460766"/>
    <w:rsid w:val="00461255"/>
    <w:rsid w:val="004653AC"/>
    <w:rsid w:val="00466581"/>
    <w:rsid w:val="0047390D"/>
    <w:rsid w:val="004A3885"/>
    <w:rsid w:val="004A78E6"/>
    <w:rsid w:val="004C45CF"/>
    <w:rsid w:val="004D2C7D"/>
    <w:rsid w:val="004D6A40"/>
    <w:rsid w:val="004E3F6D"/>
    <w:rsid w:val="004E401D"/>
    <w:rsid w:val="004F3D98"/>
    <w:rsid w:val="00502C2A"/>
    <w:rsid w:val="005331C6"/>
    <w:rsid w:val="005400BF"/>
    <w:rsid w:val="005605CD"/>
    <w:rsid w:val="00560964"/>
    <w:rsid w:val="00561D0A"/>
    <w:rsid w:val="005620C5"/>
    <w:rsid w:val="0056575C"/>
    <w:rsid w:val="0056680F"/>
    <w:rsid w:val="005708B1"/>
    <w:rsid w:val="00580E34"/>
    <w:rsid w:val="00581AF1"/>
    <w:rsid w:val="00592833"/>
    <w:rsid w:val="005954B9"/>
    <w:rsid w:val="00596035"/>
    <w:rsid w:val="005A146E"/>
    <w:rsid w:val="005A6439"/>
    <w:rsid w:val="005B1BD6"/>
    <w:rsid w:val="005B3994"/>
    <w:rsid w:val="005B7BA0"/>
    <w:rsid w:val="005C1CA6"/>
    <w:rsid w:val="005D7E88"/>
    <w:rsid w:val="005E3AB1"/>
    <w:rsid w:val="005F21B0"/>
    <w:rsid w:val="0060599F"/>
    <w:rsid w:val="00607C0A"/>
    <w:rsid w:val="00622BBD"/>
    <w:rsid w:val="00623BC1"/>
    <w:rsid w:val="0062693F"/>
    <w:rsid w:val="00627AE7"/>
    <w:rsid w:val="006418F8"/>
    <w:rsid w:val="00643F0F"/>
    <w:rsid w:val="00650E75"/>
    <w:rsid w:val="00654586"/>
    <w:rsid w:val="00661567"/>
    <w:rsid w:val="00671CDA"/>
    <w:rsid w:val="0067530F"/>
    <w:rsid w:val="00675C3D"/>
    <w:rsid w:val="0068060D"/>
    <w:rsid w:val="00693FCD"/>
    <w:rsid w:val="00694132"/>
    <w:rsid w:val="0069576E"/>
    <w:rsid w:val="00695BC0"/>
    <w:rsid w:val="006A3405"/>
    <w:rsid w:val="006A5943"/>
    <w:rsid w:val="006B1941"/>
    <w:rsid w:val="006B198D"/>
    <w:rsid w:val="006B1B39"/>
    <w:rsid w:val="006C1774"/>
    <w:rsid w:val="006C46CB"/>
    <w:rsid w:val="006C5A43"/>
    <w:rsid w:val="006D3AB7"/>
    <w:rsid w:val="006D4D44"/>
    <w:rsid w:val="006F264A"/>
    <w:rsid w:val="006F3AA3"/>
    <w:rsid w:val="006F5E52"/>
    <w:rsid w:val="006F62EF"/>
    <w:rsid w:val="00714685"/>
    <w:rsid w:val="00720A44"/>
    <w:rsid w:val="007368D0"/>
    <w:rsid w:val="00740910"/>
    <w:rsid w:val="00750AED"/>
    <w:rsid w:val="00755B7F"/>
    <w:rsid w:val="007723ED"/>
    <w:rsid w:val="00775FBA"/>
    <w:rsid w:val="007800EB"/>
    <w:rsid w:val="00782853"/>
    <w:rsid w:val="00782BF3"/>
    <w:rsid w:val="00786A8B"/>
    <w:rsid w:val="0079106A"/>
    <w:rsid w:val="00793A75"/>
    <w:rsid w:val="007940DD"/>
    <w:rsid w:val="007A1EC5"/>
    <w:rsid w:val="007A69B3"/>
    <w:rsid w:val="007C2C25"/>
    <w:rsid w:val="007C3600"/>
    <w:rsid w:val="007C4512"/>
    <w:rsid w:val="007C5EFC"/>
    <w:rsid w:val="007C701F"/>
    <w:rsid w:val="007D1C0C"/>
    <w:rsid w:val="007D6D76"/>
    <w:rsid w:val="007D770C"/>
    <w:rsid w:val="007D79E5"/>
    <w:rsid w:val="007E13D8"/>
    <w:rsid w:val="007E3C94"/>
    <w:rsid w:val="007E4FEE"/>
    <w:rsid w:val="007E7D58"/>
    <w:rsid w:val="007F2A18"/>
    <w:rsid w:val="007F72FF"/>
    <w:rsid w:val="008116E9"/>
    <w:rsid w:val="0081473B"/>
    <w:rsid w:val="008162B1"/>
    <w:rsid w:val="0081639D"/>
    <w:rsid w:val="0082099A"/>
    <w:rsid w:val="00824FEA"/>
    <w:rsid w:val="00826E2E"/>
    <w:rsid w:val="00831A8F"/>
    <w:rsid w:val="008373F3"/>
    <w:rsid w:val="00841C2B"/>
    <w:rsid w:val="008472A4"/>
    <w:rsid w:val="0085012E"/>
    <w:rsid w:val="00852203"/>
    <w:rsid w:val="008647BF"/>
    <w:rsid w:val="008736A8"/>
    <w:rsid w:val="00876766"/>
    <w:rsid w:val="008934A1"/>
    <w:rsid w:val="0089641B"/>
    <w:rsid w:val="00896A3E"/>
    <w:rsid w:val="00897DEE"/>
    <w:rsid w:val="008A6193"/>
    <w:rsid w:val="008B397E"/>
    <w:rsid w:val="008C06F3"/>
    <w:rsid w:val="008C0AAD"/>
    <w:rsid w:val="008C6DE8"/>
    <w:rsid w:val="008F21B2"/>
    <w:rsid w:val="008F26D3"/>
    <w:rsid w:val="008F6523"/>
    <w:rsid w:val="0090448C"/>
    <w:rsid w:val="00904553"/>
    <w:rsid w:val="009126C4"/>
    <w:rsid w:val="00914D18"/>
    <w:rsid w:val="009179C1"/>
    <w:rsid w:val="009366BB"/>
    <w:rsid w:val="00937B12"/>
    <w:rsid w:val="00943100"/>
    <w:rsid w:val="009449C9"/>
    <w:rsid w:val="0095605E"/>
    <w:rsid w:val="00957A9E"/>
    <w:rsid w:val="00964799"/>
    <w:rsid w:val="0096507B"/>
    <w:rsid w:val="009658C5"/>
    <w:rsid w:val="00973FCF"/>
    <w:rsid w:val="00982134"/>
    <w:rsid w:val="00982F06"/>
    <w:rsid w:val="00983BD6"/>
    <w:rsid w:val="00986493"/>
    <w:rsid w:val="00987AD1"/>
    <w:rsid w:val="009C2213"/>
    <w:rsid w:val="009D51E3"/>
    <w:rsid w:val="009D6BFB"/>
    <w:rsid w:val="009E3A27"/>
    <w:rsid w:val="009E4387"/>
    <w:rsid w:val="009F6829"/>
    <w:rsid w:val="009F7160"/>
    <w:rsid w:val="00A005B1"/>
    <w:rsid w:val="00A04D5C"/>
    <w:rsid w:val="00A11C07"/>
    <w:rsid w:val="00A1327E"/>
    <w:rsid w:val="00A14AE1"/>
    <w:rsid w:val="00A242C1"/>
    <w:rsid w:val="00A323E8"/>
    <w:rsid w:val="00A3273A"/>
    <w:rsid w:val="00A33763"/>
    <w:rsid w:val="00A348D3"/>
    <w:rsid w:val="00A573AE"/>
    <w:rsid w:val="00A81221"/>
    <w:rsid w:val="00A8165D"/>
    <w:rsid w:val="00A81E57"/>
    <w:rsid w:val="00A82FE8"/>
    <w:rsid w:val="00A878D3"/>
    <w:rsid w:val="00A96A21"/>
    <w:rsid w:val="00AA44A0"/>
    <w:rsid w:val="00AB04D0"/>
    <w:rsid w:val="00AB3B06"/>
    <w:rsid w:val="00AB6280"/>
    <w:rsid w:val="00AC366F"/>
    <w:rsid w:val="00AD4456"/>
    <w:rsid w:val="00AD5150"/>
    <w:rsid w:val="00AD73E4"/>
    <w:rsid w:val="00AD7776"/>
    <w:rsid w:val="00AE364D"/>
    <w:rsid w:val="00AE4917"/>
    <w:rsid w:val="00AE4BE3"/>
    <w:rsid w:val="00B16F5C"/>
    <w:rsid w:val="00B1748D"/>
    <w:rsid w:val="00B232F5"/>
    <w:rsid w:val="00B23851"/>
    <w:rsid w:val="00B300F7"/>
    <w:rsid w:val="00B36A4F"/>
    <w:rsid w:val="00B45454"/>
    <w:rsid w:val="00B46D37"/>
    <w:rsid w:val="00B632B0"/>
    <w:rsid w:val="00B76B73"/>
    <w:rsid w:val="00B9490D"/>
    <w:rsid w:val="00B95ED5"/>
    <w:rsid w:val="00B9610C"/>
    <w:rsid w:val="00BA1A16"/>
    <w:rsid w:val="00BB14CA"/>
    <w:rsid w:val="00BB513D"/>
    <w:rsid w:val="00BB7800"/>
    <w:rsid w:val="00BC1D50"/>
    <w:rsid w:val="00BC7CC2"/>
    <w:rsid w:val="00BD3D73"/>
    <w:rsid w:val="00BE2155"/>
    <w:rsid w:val="00BE2A44"/>
    <w:rsid w:val="00BE7371"/>
    <w:rsid w:val="00BF1203"/>
    <w:rsid w:val="00BF4F9C"/>
    <w:rsid w:val="00BF557F"/>
    <w:rsid w:val="00C00DC9"/>
    <w:rsid w:val="00C03028"/>
    <w:rsid w:val="00C050CF"/>
    <w:rsid w:val="00C07FAD"/>
    <w:rsid w:val="00C110C4"/>
    <w:rsid w:val="00C309FB"/>
    <w:rsid w:val="00C30D6E"/>
    <w:rsid w:val="00C32A46"/>
    <w:rsid w:val="00C46173"/>
    <w:rsid w:val="00C66B2C"/>
    <w:rsid w:val="00C67A7F"/>
    <w:rsid w:val="00C7528C"/>
    <w:rsid w:val="00C8287E"/>
    <w:rsid w:val="00C91459"/>
    <w:rsid w:val="00C9239F"/>
    <w:rsid w:val="00CA242F"/>
    <w:rsid w:val="00CA4382"/>
    <w:rsid w:val="00CA4BA2"/>
    <w:rsid w:val="00CA6E52"/>
    <w:rsid w:val="00CB144D"/>
    <w:rsid w:val="00CB4E61"/>
    <w:rsid w:val="00CC69CB"/>
    <w:rsid w:val="00CD0BC1"/>
    <w:rsid w:val="00CE52E6"/>
    <w:rsid w:val="00CF313C"/>
    <w:rsid w:val="00CF572A"/>
    <w:rsid w:val="00CF6258"/>
    <w:rsid w:val="00CF68EF"/>
    <w:rsid w:val="00D016D1"/>
    <w:rsid w:val="00D067DB"/>
    <w:rsid w:val="00D109E4"/>
    <w:rsid w:val="00D13D45"/>
    <w:rsid w:val="00D21BA4"/>
    <w:rsid w:val="00D23D38"/>
    <w:rsid w:val="00D26540"/>
    <w:rsid w:val="00D2736E"/>
    <w:rsid w:val="00D32551"/>
    <w:rsid w:val="00D4391E"/>
    <w:rsid w:val="00D44D64"/>
    <w:rsid w:val="00D7350F"/>
    <w:rsid w:val="00D833E2"/>
    <w:rsid w:val="00D9214F"/>
    <w:rsid w:val="00D92643"/>
    <w:rsid w:val="00D929D8"/>
    <w:rsid w:val="00D94B5F"/>
    <w:rsid w:val="00DA5CAA"/>
    <w:rsid w:val="00DB6004"/>
    <w:rsid w:val="00DC1C1E"/>
    <w:rsid w:val="00DC3186"/>
    <w:rsid w:val="00DC31C7"/>
    <w:rsid w:val="00DD176F"/>
    <w:rsid w:val="00DD5B37"/>
    <w:rsid w:val="00DD6492"/>
    <w:rsid w:val="00DF1F5A"/>
    <w:rsid w:val="00E02BF7"/>
    <w:rsid w:val="00E25618"/>
    <w:rsid w:val="00E31A41"/>
    <w:rsid w:val="00E3289E"/>
    <w:rsid w:val="00E42D4F"/>
    <w:rsid w:val="00E4362A"/>
    <w:rsid w:val="00E567F8"/>
    <w:rsid w:val="00E57427"/>
    <w:rsid w:val="00E60B4B"/>
    <w:rsid w:val="00E71E78"/>
    <w:rsid w:val="00E72C17"/>
    <w:rsid w:val="00E747E2"/>
    <w:rsid w:val="00E767AE"/>
    <w:rsid w:val="00E76D6F"/>
    <w:rsid w:val="00E8024B"/>
    <w:rsid w:val="00E82DFB"/>
    <w:rsid w:val="00E82F01"/>
    <w:rsid w:val="00E96F78"/>
    <w:rsid w:val="00EA1D13"/>
    <w:rsid w:val="00EA529F"/>
    <w:rsid w:val="00EB5236"/>
    <w:rsid w:val="00EC0A72"/>
    <w:rsid w:val="00EC1197"/>
    <w:rsid w:val="00EC6B95"/>
    <w:rsid w:val="00ED3769"/>
    <w:rsid w:val="00ED3EB7"/>
    <w:rsid w:val="00ED7BB0"/>
    <w:rsid w:val="00ED7D8D"/>
    <w:rsid w:val="00EE40F2"/>
    <w:rsid w:val="00EF562A"/>
    <w:rsid w:val="00EF64F8"/>
    <w:rsid w:val="00F12A3C"/>
    <w:rsid w:val="00F27667"/>
    <w:rsid w:val="00F315B1"/>
    <w:rsid w:val="00F31640"/>
    <w:rsid w:val="00F336BA"/>
    <w:rsid w:val="00F34637"/>
    <w:rsid w:val="00F41BF3"/>
    <w:rsid w:val="00F44783"/>
    <w:rsid w:val="00F476E9"/>
    <w:rsid w:val="00F5113F"/>
    <w:rsid w:val="00F52B8D"/>
    <w:rsid w:val="00F55C82"/>
    <w:rsid w:val="00F6070B"/>
    <w:rsid w:val="00F622CE"/>
    <w:rsid w:val="00F6317A"/>
    <w:rsid w:val="00F703C7"/>
    <w:rsid w:val="00F745E3"/>
    <w:rsid w:val="00F76444"/>
    <w:rsid w:val="00F77094"/>
    <w:rsid w:val="00F77621"/>
    <w:rsid w:val="00F805A5"/>
    <w:rsid w:val="00F81457"/>
    <w:rsid w:val="00F81522"/>
    <w:rsid w:val="00F8541A"/>
    <w:rsid w:val="00F91A44"/>
    <w:rsid w:val="00FA2C69"/>
    <w:rsid w:val="00FA703D"/>
    <w:rsid w:val="00FB05DC"/>
    <w:rsid w:val="00FB3929"/>
    <w:rsid w:val="00FB7F6E"/>
    <w:rsid w:val="00FC1519"/>
    <w:rsid w:val="00FC46C9"/>
    <w:rsid w:val="00FD0CDE"/>
    <w:rsid w:val="00FD57F2"/>
    <w:rsid w:val="00FE0C76"/>
    <w:rsid w:val="00FE7ED5"/>
    <w:rsid w:val="00FF5115"/>
    <w:rsid w:val="3E5E2F43"/>
    <w:rsid w:val="5E810B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ext">
    <w:name w:val="Text"/>
    <w:qFormat/>
    <w:rsid w:val="00125515"/>
    <w:rPr>
      <w:rFonts w:ascii="Arial" w:hAnsi="Arial"/>
      <w:sz w:val="24"/>
    </w:rPr>
  </w:style>
  <w:style w:type="character" w:customStyle="1" w:styleId="BulletText1Char">
    <w:name w:val="Bullet Text 1 Char"/>
    <w:link w:val="BulletText1"/>
    <w:locked/>
    <w:rsid w:val="00125515"/>
  </w:style>
  <w:style w:type="paragraph" w:customStyle="1" w:styleId="BulletText1">
    <w:name w:val="Bullet Text 1"/>
    <w:basedOn w:val="Normal"/>
    <w:link w:val="BulletText1Char"/>
    <w:qFormat/>
    <w:rsid w:val="00125515"/>
    <w:pPr>
      <w:numPr>
        <w:numId w:val="13"/>
      </w:numPr>
      <w:spacing w:before="60" w:after="240" w:line="259" w:lineRule="auto"/>
      <w:ind w:left="641" w:hanging="357"/>
      <w:contextualSpacing/>
    </w:pPr>
    <w:rPr>
      <w:rFonts w:eastAsiaTheme="minorHAnsi"/>
    </w:rPr>
  </w:style>
  <w:style w:type="character" w:customStyle="1" w:styleId="BulletText2Char">
    <w:name w:val="Bullet Text 2 Char"/>
    <w:link w:val="BulletText2"/>
    <w:locked/>
    <w:rsid w:val="00125515"/>
  </w:style>
  <w:style w:type="paragraph" w:customStyle="1" w:styleId="BulletText2">
    <w:name w:val="Bullet Text 2"/>
    <w:basedOn w:val="Normal"/>
    <w:link w:val="BulletText2Char"/>
    <w:qFormat/>
    <w:rsid w:val="00125515"/>
    <w:pPr>
      <w:numPr>
        <w:numId w:val="14"/>
      </w:numPr>
      <w:spacing w:before="60" w:after="240" w:line="259" w:lineRule="auto"/>
      <w:ind w:left="1208" w:hanging="357"/>
      <w:contextualSpacing/>
    </w:pPr>
    <w:rPr>
      <w:rFonts w:eastAsiaTheme="minorHAnsi"/>
    </w:rPr>
  </w:style>
  <w:style w:type="paragraph" w:styleId="FootnoteText">
    <w:name w:val="footnote text"/>
    <w:basedOn w:val="Normal"/>
    <w:link w:val="FootnoteTextChar"/>
    <w:uiPriority w:val="99"/>
    <w:semiHidden/>
    <w:unhideWhenUsed/>
    <w:rsid w:val="005C1CA6"/>
    <w:rPr>
      <w:rFonts w:ascii="Arial" w:eastAsiaTheme="minorHAnsi" w:hAnsi="Arial"/>
      <w:color w:val="000000" w:themeColor="text1"/>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5C1CA6"/>
    <w:rPr>
      <w:rFonts w:ascii="Arial" w:hAnsi="Arial"/>
      <w:color w:val="000000" w:themeColor="text1"/>
      <w:sz w:val="20"/>
      <w:szCs w:val="20"/>
      <w:lang w:val="en-GB"/>
      <w14:ligatures w14:val="standardContextual"/>
    </w:rPr>
  </w:style>
  <w:style w:type="character" w:styleId="FootnoteReference">
    <w:name w:val="footnote reference"/>
    <w:basedOn w:val="DefaultParagraphFont"/>
    <w:uiPriority w:val="99"/>
    <w:semiHidden/>
    <w:unhideWhenUsed/>
    <w:rsid w:val="005C1C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nvironment-agency-reaching-net-zero" TargetMode="External"/><Relationship Id="rId2" Type="http://schemas.openxmlformats.org/officeDocument/2006/relationships/customXml" Target="../customXml/item2.xml"/><Relationship Id="rId16" Type="http://schemas.openxmlformats.org/officeDocument/2006/relationships/hyperlink" Target="https://www.gov.uk/government/publications/environment-agency-ea2025-creating-a-better-pla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ob.allott@environment-agency.gov.uk" TargetMode="External"/><Relationship Id="rId10" Type="http://schemas.openxmlformats.org/officeDocument/2006/relationships/webSettings" Target="webSettings.xml"/><Relationship Id="rId19" Type="http://schemas.openxmlformats.org/officeDocument/2006/relationships/hyperlink" Target="https://www.gov.uk/government/publications/environment-agency-terms-and-conditions-for-goods-and-services/standard-goods-and-services-terms-and-conditions-10000-to-5000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my.furniss@environment-agency.gov.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632371769098ded31fca7c1/managing-radioactive-substances-and-nuclear-decommissioning-uk-policy-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81191C3EE05F045BF08BC5B42104F48" ma:contentTypeVersion="19" ma:contentTypeDescription="Create a new document." ma:contentTypeScope="" ma:versionID="5906dbc64025889be20d4636c8e970a5">
  <xsd:schema xmlns:xsd="http://www.w3.org/2001/XMLSchema" xmlns:xs="http://www.w3.org/2001/XMLSchema" xmlns:p="http://schemas.microsoft.com/office/2006/metadata/properties" xmlns:ns2="af9bfb7f-76bb-4767-bb87-cbf5669d8578" xmlns:ns3="662745e8-e224-48e8-a2e3-254862b8c2f5" targetNamespace="http://schemas.microsoft.com/office/2006/metadata/properties" ma:root="true" ma:fieldsID="154adc69a44c9bbe7755ef9b94869976" ns2:_="" ns3:_="">
    <xsd:import namespace="af9bfb7f-76bb-4767-bb87-cbf5669d8578"/>
    <xsd:import namespace="662745e8-e224-48e8-a2e3-254862b8c2f5"/>
    <xsd:element name="properties">
      <xsd:complexType>
        <xsd:sequence>
          <xsd:element name="documentManagement">
            <xsd:complexType>
              <xsd:all>
                <xsd:element ref="ns2:lae2bfa7b6474897ab4a53f76ea236c7" minOccurs="0"/>
                <xsd:element ref="ns3: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bfb7f-76bb-4767-bb87-cbf5669d8578" elementFormDefault="qualified">
    <xsd:import namespace="http://schemas.microsoft.com/office/2006/documentManagement/types"/>
    <xsd:import namespace="http://schemas.microsoft.com/office/infopath/2007/PartnerControls"/>
    <xsd:element name="lae2bfa7b6474897ab4a53f76ea236c7" ma:index="8" nillable="true" ma:displayName="Government Security Classification_0" ma:hidden="true" ma:internalName="lae2bfa7b6474897ab4a53f76ea236c7">
      <xsd:simpleType>
        <xsd:restriction base="dms:Note"/>
      </xsd:simpleType>
    </xsd:element>
    <xsd:element name="TaxCatchAllLabel" ma:index="10" nillable="true" ma:displayName="Taxonomy Catch All Column1" ma:hidden="true" ma:list="{a2cc8c46-62cc-44d3-a65a-70e446c58feb}"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nillable="true" ma:displayName="Copyright level_0" ma:hidden="true" ma:internalName="cf401361b24e474cb011be6eb76c0e76">
      <xsd:simpleType>
        <xsd:restriction base="dms:Note"/>
      </xsd:simpleType>
    </xsd:element>
    <xsd:element name="n7493b4506bf40e28c373b1e51a33445" ma:index="14" nillable="true" ma:displayName="Site type_0" ma:hidden="true" ma:internalName="n7493b4506bf40e28c373b1e51a33445">
      <xsd:simpleType>
        <xsd:restriction base="dms:Note"/>
      </xsd:simpleType>
    </xsd:element>
    <xsd:element name="HOMigrated" ma:index="16" nillable="true" ma:displayName="Migrated" ma:default="0" ma:internalName="HOMigrated">
      <xsd:simpleType>
        <xsd:restriction base="dms:Boolean"/>
      </xsd:simpleType>
    </xsd:element>
    <xsd:element name="k85d23755b3a46b5a51451cf336b2e9b" ma:index="17" nillable="true" ma:displayName="Information Type_0" ma:hidden="true" ma:internalName="k85d23755b3a46b5a51451cf336b2e9b">
      <xsd:simpleType>
        <xsd:restriction base="dms:Note"/>
      </xsd:simpleType>
    </xsd:element>
    <xsd:element name="Team" ma:index="19" nillable="true" ma:displayName="Team" ma:default="Radioactive Substances Regulation RSR Community" ma:internalName="Team" ma:readOnly="false">
      <xsd:simpleType>
        <xsd:restriction base="dms:Text"/>
      </xsd:simpleType>
    </xsd:element>
    <xsd:element name="Topic" ma:index="20" nillable="true" ma:displayName="Topic" ma:default="05" ma:internalName="Topic" ma:readOnly="false">
      <xsd:simpleType>
        <xsd:restriction base="dms:Text"/>
      </xsd:simpleType>
    </xsd:element>
    <xsd:element name="ddeb1fd0a9ad4436a96525d34737dc44" ma:index="21" nillable="true" ma:displayName="Distribution_2" ma:hidden="true" ma:internalName="ddeb1fd0a9ad4436a96525d34737dc44">
      <xsd:simpleType>
        <xsd:restriction base="dms:Note"/>
      </xsd:simpleType>
    </xsd:element>
    <xsd:element name="fe59e9859d6a491389c5b03567f5dda5" ma:index="23" nillable="true" ma:displayName="Organisational Unit_0" ma:hidden="true" ma:internalName="fe59e9859d6a491389c5b03567f5dda5">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a2cc8c46-62cc-44d3-a65a-70e446c58feb}" ma:internalName="TaxCatchAll" ma:showField="CatchAllData" ma:web="6c7b3af1-d11b-4947-b81d-67a149ad0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23</Value>
      <Value>22</Value>
      <Value>2</Value>
      <Value>1</Value>
      <Value>46</Value>
    </TaxCatchAll>
    <cf401361b24e474cb011be6eb76c0e76 xmlns="af9bfb7f-76bb-4767-bb87-cbf5669d8578">Crown69589897-2828-4761-976e-717fd8e631c9</cf401361b24e474cb011be6eb76c0e76>
    <k85d23755b3a46b5a51451cf336b2e9b xmlns="af9bfb7f-76bb-4767-bb87-cbf5669d8578" xsi:nil="true"/>
    <Topic xmlns="af9bfb7f-76bb-4767-bb87-cbf5669d8578">Centre of Excellence Document Library</Topic>
    <HOMigrated xmlns="af9bfb7f-76bb-4767-bb87-cbf5669d8578">false</HOMigrated>
    <ddeb1fd0a9ad4436a96525d34737dc44 xmlns="af9bfb7f-76bb-4767-bb87-cbf5669d8578">Internal Defra Group0867f7b3-e76e-40ca-bb1f-5ba341a49230</ddeb1fd0a9ad4436a96525d34737dc44>
    <lae2bfa7b6474897ab4a53f76ea236c7 xmlns="af9bfb7f-76bb-4767-bb87-cbf5669d8578">Official14c80daa-741b-422c-9722-f71693c9ede4</lae2bfa7b6474897ab4a53f76ea236c7>
    <fe59e9859d6a491389c5b03567f5dda5 xmlns="af9bfb7f-76bb-4767-bb87-cbf5669d8578">Defra Group Commercial88c065df-18f9-4530-b972-ea809b7dd96d</fe59e9859d6a491389c5b03567f5dda5>
    <Team xmlns="af9bfb7f-76bb-4767-bb87-cbf5669d8578">Defra Groups Contract Management Centre of Excellence</Team>
    <n7493b4506bf40e28c373b1e51a33445 xmlns="af9bfb7f-76bb-4767-bb87-cbf5669d8578">Community144ac7d7-0b9a-42f9-9385-2935294b6de3</n7493b4506bf40e28c373b1e51a33445>
  </documentManagement>
</p:properties>
</file>

<file path=customXml/itemProps1.xml><?xml version="1.0" encoding="utf-8"?>
<ds:datastoreItem xmlns:ds="http://schemas.openxmlformats.org/officeDocument/2006/customXml" ds:itemID="{417C2F44-F67B-45D0-ACAF-E10D5C38E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bfb7f-76bb-4767-bb87-cbf5669d8578"/>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4B044-2D81-4618-A848-D72553ED6D12}">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D32E94EC-3039-42FC-A394-4DA79B9B214C}">
  <ds:schemaRefs>
    <ds:schemaRef ds:uri="http://www.imanage.com/work/xmlschema"/>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www.w3.org/XML/1998/namespace"/>
    <ds:schemaRef ds:uri="http://purl.org/dc/elements/1.1/"/>
    <ds:schemaRef ds:uri="http://purl.org/dc/terms/"/>
    <ds:schemaRef ds:uri="http://schemas.microsoft.com/office/2006/documentManagement/types"/>
    <ds:schemaRef ds:uri="af9bfb7f-76bb-4767-bb87-cbf5669d8578"/>
    <ds:schemaRef ds:uri="http://schemas.microsoft.com/office/infopath/2007/PartnerControls"/>
    <ds:schemaRef ds:uri="http://schemas.openxmlformats.org/package/2006/metadata/core-properties"/>
    <ds:schemaRef ds:uri="662745e8-e224-48e8-a2e3-254862b8c2f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8</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Furniss, Amy</cp:lastModifiedBy>
  <cp:revision>103</cp:revision>
  <dcterms:created xsi:type="dcterms:W3CDTF">2025-02-04T20:05:00Z</dcterms:created>
  <dcterms:modified xsi:type="dcterms:W3CDTF">2025-03-05T12:05:00Z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0x010100A5BF1C78D9F64B679A5EBDE1C6598EBC0100C81191C3EE05F045BF08BC5B42104F48</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23;#Internal Defra Group|0867f7b3-e76e-40ca-bb1f-5ba341a49230</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HOSiteType">
    <vt:lpwstr>22;#Community|144ac7d7-0b9a-42f9-9385-2935294b6de3</vt:lpwstr>
  </property>
  <property fmtid="{D5CDD505-2E9C-101B-9397-08002B2CF9AE}" pid="10" name="OrganisationalUnit">
    <vt:lpwstr>46;#Defra Group Commercial|88c065df-18f9-4530-b972-ea809b7dd96d</vt:lpwstr>
  </property>
  <property fmtid="{D5CDD505-2E9C-101B-9397-08002B2CF9AE}" pid="11" name="lae2bfa7b6474897ab4a53f76ea236c70">
    <vt:lpwstr>Official|14c80daa-741b-422c-9722-f71693c9ede4</vt:lpwstr>
  </property>
  <property fmtid="{D5CDD505-2E9C-101B-9397-08002B2CF9AE}" pid="12" name="ddeb1fd0a9ad4436a96525d34737dc440">
    <vt:lpwstr>Internal Defra Group|0867f7b3-e76e-40ca-bb1f-5ba341a49230</vt:lpwstr>
  </property>
  <property fmtid="{D5CDD505-2E9C-101B-9397-08002B2CF9AE}" pid="13" name="n7493b4506bf40e28c373b1e51a334450">
    <vt:lpwstr>Community|144ac7d7-0b9a-42f9-9385-2935294b6de3</vt:lpwstr>
  </property>
  <property fmtid="{D5CDD505-2E9C-101B-9397-08002B2CF9AE}" pid="14" name="fe59e9859d6a491389c5b03567f5dda50">
    <vt:lpwstr>Defra Group Commercial|88c065df-18f9-4530-b972-ea809b7dd96d</vt:lpwstr>
  </property>
  <property fmtid="{D5CDD505-2E9C-101B-9397-08002B2CF9AE}" pid="15" name="cf401361b24e474cb011be6eb76c0e760">
    <vt:lpwstr>Crown|69589897-2828-4761-976e-717fd8e631c9</vt:lpwstr>
  </property>
  <property fmtid="{D5CDD505-2E9C-101B-9397-08002B2CF9AE}" pid="16" name="k85d23755b3a46b5a51451cf336b2e9b0">
    <vt:lpwstr/>
  </property>
</Properties>
</file>