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CB1987E" w:rsidR="00FC6860" w:rsidRPr="00574B16" w:rsidRDefault="00AC608C" w:rsidP="003A16E9">
          <w:pPr>
            <w:pStyle w:val="Heading1"/>
            <w:rPr>
              <w:rStyle w:val="chrSubTitle"/>
              <w:color w:val="B1173B"/>
            </w:rPr>
          </w:pPr>
          <w:r w:rsidRPr="00AC608C">
            <w:rPr>
              <w:rStyle w:val="chrSubTitle"/>
              <w:color w:val="B1173B"/>
            </w:rPr>
            <w:t>Horizon scanning study of rail markets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6-05T00:00:00Z">
          <w:dateFormat w:val="dd MMMM yyyy"/>
          <w:lid w:val="en-GB"/>
          <w:storeMappedDataAs w:val="dateTime"/>
          <w:calendar w:val="gregorian"/>
        </w:date>
      </w:sdtPr>
      <w:sdtEndPr/>
      <w:sdtContent>
        <w:p w14:paraId="38D7D855" w14:textId="56AD564C" w:rsidR="00FC6860" w:rsidRDefault="004A02B8" w:rsidP="003A16E9">
          <w:pPr>
            <w:pStyle w:val="Date"/>
          </w:pPr>
          <w:r>
            <w:rPr>
              <w:bCs/>
            </w:rPr>
            <w:t>05 June 2025</w:t>
          </w:r>
        </w:p>
      </w:sdtContent>
    </w:sdt>
    <w:p w14:paraId="512B2E87" w14:textId="77777777" w:rsidR="003E5612" w:rsidRDefault="003E5612" w:rsidP="003E5612"/>
    <w:p w14:paraId="0B23CADF" w14:textId="0D69A601" w:rsidR="003E5612" w:rsidRPr="00574B16" w:rsidRDefault="003E5612" w:rsidP="003E5612">
      <w:pPr>
        <w:pStyle w:val="NormalBulletround"/>
        <w:rPr>
          <w:b/>
          <w:bCs/>
          <w:color w:val="B1173B"/>
        </w:rPr>
      </w:pPr>
      <w:r w:rsidRPr="003E5612">
        <w:rPr>
          <w:b/>
          <w:bCs/>
        </w:rPr>
        <w:t xml:space="preserve">CPV Code: </w:t>
      </w:r>
      <w:r w:rsidR="00AC608C" w:rsidRPr="00AC608C">
        <w:rPr>
          <w:b/>
          <w:bCs/>
          <w:color w:val="B1173B"/>
        </w:rPr>
        <w:t>79400000</w:t>
      </w:r>
    </w:p>
    <w:p w14:paraId="4B92FCBC" w14:textId="340220E0"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AC608C" w:rsidRPr="00AC608C">
        <w:rPr>
          <w:b/>
          <w:bCs/>
          <w:color w:val="B1173B"/>
        </w:rPr>
        <w:t>ORR/CT/25-17</w:t>
      </w:r>
    </w:p>
    <w:p w14:paraId="60F6998D" w14:textId="0B0FBB2D" w:rsidR="003E5612" w:rsidRDefault="003E5612" w:rsidP="003A16E9">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28CB6E70" w14:textId="6ECAAD64" w:rsidR="00C47EF8"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200007554" w:history="1">
        <w:r w:rsidR="00C47EF8" w:rsidRPr="003611F8">
          <w:rPr>
            <w:rStyle w:val="Hyperlink"/>
          </w:rPr>
          <w:t>Purpose of the document</w:t>
        </w:r>
        <w:r w:rsidR="00C47EF8">
          <w:rPr>
            <w:webHidden/>
          </w:rPr>
          <w:tab/>
        </w:r>
        <w:r w:rsidR="00C47EF8">
          <w:rPr>
            <w:webHidden/>
          </w:rPr>
          <w:fldChar w:fldCharType="begin"/>
        </w:r>
        <w:r w:rsidR="00C47EF8">
          <w:rPr>
            <w:webHidden/>
          </w:rPr>
          <w:instrText xml:space="preserve"> PAGEREF _Toc200007554 \h </w:instrText>
        </w:r>
        <w:r w:rsidR="00C47EF8">
          <w:rPr>
            <w:webHidden/>
          </w:rPr>
        </w:r>
        <w:r w:rsidR="00C47EF8">
          <w:rPr>
            <w:webHidden/>
          </w:rPr>
          <w:fldChar w:fldCharType="separate"/>
        </w:r>
        <w:r w:rsidR="00C47EF8">
          <w:rPr>
            <w:webHidden/>
          </w:rPr>
          <w:t>3</w:t>
        </w:r>
        <w:r w:rsidR="00C47EF8">
          <w:rPr>
            <w:webHidden/>
          </w:rPr>
          <w:fldChar w:fldCharType="end"/>
        </w:r>
      </w:hyperlink>
    </w:p>
    <w:p w14:paraId="1F5898AE" w14:textId="60DA7500" w:rsidR="00C47EF8" w:rsidRDefault="00C47EF8">
      <w:pPr>
        <w:pStyle w:val="TOC1"/>
        <w:rPr>
          <w:rFonts w:asciiTheme="minorHAnsi" w:eastAsiaTheme="minorEastAsia" w:hAnsiTheme="minorHAnsi"/>
          <w:b w:val="0"/>
          <w:bCs w:val="0"/>
          <w:color w:val="auto"/>
          <w:kern w:val="2"/>
          <w:szCs w:val="24"/>
          <w:lang w:eastAsia="en-GB"/>
          <w14:ligatures w14:val="standardContextual"/>
        </w:rPr>
      </w:pPr>
      <w:hyperlink w:anchor="_Toc200007555" w:history="1">
        <w:r w:rsidRPr="003611F8">
          <w:rPr>
            <w:rStyle w:val="Hyperlink"/>
          </w:rPr>
          <w:t>1.</w:t>
        </w:r>
        <w:r>
          <w:rPr>
            <w:rFonts w:asciiTheme="minorHAnsi" w:eastAsiaTheme="minorEastAsia" w:hAnsiTheme="minorHAnsi"/>
            <w:b w:val="0"/>
            <w:bCs w:val="0"/>
            <w:color w:val="auto"/>
            <w:kern w:val="2"/>
            <w:szCs w:val="24"/>
            <w:lang w:eastAsia="en-GB"/>
            <w14:ligatures w14:val="standardContextual"/>
          </w:rPr>
          <w:tab/>
        </w:r>
        <w:r w:rsidRPr="003611F8">
          <w:rPr>
            <w:rStyle w:val="Hyperlink"/>
          </w:rPr>
          <w:t>Introduction to the Office of Rail and Road</w:t>
        </w:r>
        <w:r>
          <w:rPr>
            <w:webHidden/>
          </w:rPr>
          <w:tab/>
        </w:r>
        <w:r>
          <w:rPr>
            <w:webHidden/>
          </w:rPr>
          <w:fldChar w:fldCharType="begin"/>
        </w:r>
        <w:r>
          <w:rPr>
            <w:webHidden/>
          </w:rPr>
          <w:instrText xml:space="preserve"> PAGEREF _Toc200007555 \h </w:instrText>
        </w:r>
        <w:r>
          <w:rPr>
            <w:webHidden/>
          </w:rPr>
        </w:r>
        <w:r>
          <w:rPr>
            <w:webHidden/>
          </w:rPr>
          <w:fldChar w:fldCharType="separate"/>
        </w:r>
        <w:r>
          <w:rPr>
            <w:webHidden/>
          </w:rPr>
          <w:t>4</w:t>
        </w:r>
        <w:r>
          <w:rPr>
            <w:webHidden/>
          </w:rPr>
          <w:fldChar w:fldCharType="end"/>
        </w:r>
      </w:hyperlink>
    </w:p>
    <w:p w14:paraId="24E60475" w14:textId="1CADD840"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56" w:history="1">
        <w:r w:rsidRPr="003611F8">
          <w:rPr>
            <w:rStyle w:val="Hyperlink"/>
            <w:noProof/>
          </w:rPr>
          <w:t>Our strategic objectives</w:t>
        </w:r>
        <w:r>
          <w:rPr>
            <w:noProof/>
            <w:webHidden/>
          </w:rPr>
          <w:tab/>
        </w:r>
        <w:r>
          <w:rPr>
            <w:noProof/>
            <w:webHidden/>
          </w:rPr>
          <w:fldChar w:fldCharType="begin"/>
        </w:r>
        <w:r>
          <w:rPr>
            <w:noProof/>
            <w:webHidden/>
          </w:rPr>
          <w:instrText xml:space="preserve"> PAGEREF _Toc200007556 \h </w:instrText>
        </w:r>
        <w:r>
          <w:rPr>
            <w:noProof/>
            <w:webHidden/>
          </w:rPr>
        </w:r>
        <w:r>
          <w:rPr>
            <w:noProof/>
            <w:webHidden/>
          </w:rPr>
          <w:fldChar w:fldCharType="separate"/>
        </w:r>
        <w:r>
          <w:rPr>
            <w:noProof/>
            <w:webHidden/>
          </w:rPr>
          <w:t>4</w:t>
        </w:r>
        <w:r>
          <w:rPr>
            <w:noProof/>
            <w:webHidden/>
          </w:rPr>
          <w:fldChar w:fldCharType="end"/>
        </w:r>
      </w:hyperlink>
    </w:p>
    <w:p w14:paraId="2745CDA7" w14:textId="05B8B99B"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57" w:history="1">
        <w:r w:rsidRPr="003611F8">
          <w:rPr>
            <w:rStyle w:val="Hyperlink"/>
            <w:noProof/>
          </w:rPr>
          <w:t>Supplying ORR</w:t>
        </w:r>
        <w:r>
          <w:rPr>
            <w:noProof/>
            <w:webHidden/>
          </w:rPr>
          <w:tab/>
        </w:r>
        <w:r>
          <w:rPr>
            <w:noProof/>
            <w:webHidden/>
          </w:rPr>
          <w:fldChar w:fldCharType="begin"/>
        </w:r>
        <w:r>
          <w:rPr>
            <w:noProof/>
            <w:webHidden/>
          </w:rPr>
          <w:instrText xml:space="preserve"> PAGEREF _Toc200007557 \h </w:instrText>
        </w:r>
        <w:r>
          <w:rPr>
            <w:noProof/>
            <w:webHidden/>
          </w:rPr>
        </w:r>
        <w:r>
          <w:rPr>
            <w:noProof/>
            <w:webHidden/>
          </w:rPr>
          <w:fldChar w:fldCharType="separate"/>
        </w:r>
        <w:r>
          <w:rPr>
            <w:noProof/>
            <w:webHidden/>
          </w:rPr>
          <w:t>4</w:t>
        </w:r>
        <w:r>
          <w:rPr>
            <w:noProof/>
            <w:webHidden/>
          </w:rPr>
          <w:fldChar w:fldCharType="end"/>
        </w:r>
      </w:hyperlink>
    </w:p>
    <w:p w14:paraId="3BEF4EA5" w14:textId="7D90F613" w:rsidR="00C47EF8" w:rsidRDefault="00C47EF8">
      <w:pPr>
        <w:pStyle w:val="TOC1"/>
        <w:rPr>
          <w:rFonts w:asciiTheme="minorHAnsi" w:eastAsiaTheme="minorEastAsia" w:hAnsiTheme="minorHAnsi"/>
          <w:b w:val="0"/>
          <w:bCs w:val="0"/>
          <w:color w:val="auto"/>
          <w:kern w:val="2"/>
          <w:szCs w:val="24"/>
          <w:lang w:eastAsia="en-GB"/>
          <w14:ligatures w14:val="standardContextual"/>
        </w:rPr>
      </w:pPr>
      <w:hyperlink w:anchor="_Toc200007558" w:history="1">
        <w:r w:rsidRPr="003611F8">
          <w:rPr>
            <w:rStyle w:val="Hyperlink"/>
          </w:rPr>
          <w:t>Small and Medium Enterprises</w:t>
        </w:r>
        <w:r>
          <w:rPr>
            <w:webHidden/>
          </w:rPr>
          <w:tab/>
        </w:r>
        <w:r>
          <w:rPr>
            <w:webHidden/>
          </w:rPr>
          <w:fldChar w:fldCharType="begin"/>
        </w:r>
        <w:r>
          <w:rPr>
            <w:webHidden/>
          </w:rPr>
          <w:instrText xml:space="preserve"> PAGEREF _Toc200007558 \h </w:instrText>
        </w:r>
        <w:r>
          <w:rPr>
            <w:webHidden/>
          </w:rPr>
        </w:r>
        <w:r>
          <w:rPr>
            <w:webHidden/>
          </w:rPr>
          <w:fldChar w:fldCharType="separate"/>
        </w:r>
        <w:r>
          <w:rPr>
            <w:webHidden/>
          </w:rPr>
          <w:t>6</w:t>
        </w:r>
        <w:r>
          <w:rPr>
            <w:webHidden/>
          </w:rPr>
          <w:fldChar w:fldCharType="end"/>
        </w:r>
      </w:hyperlink>
    </w:p>
    <w:p w14:paraId="66A8D4A6" w14:textId="6C46D0D8" w:rsidR="00C47EF8" w:rsidRDefault="00C47EF8">
      <w:pPr>
        <w:pStyle w:val="TOC1"/>
        <w:rPr>
          <w:rFonts w:asciiTheme="minorHAnsi" w:eastAsiaTheme="minorEastAsia" w:hAnsiTheme="minorHAnsi"/>
          <w:b w:val="0"/>
          <w:bCs w:val="0"/>
          <w:color w:val="auto"/>
          <w:kern w:val="2"/>
          <w:szCs w:val="24"/>
          <w:lang w:eastAsia="en-GB"/>
          <w14:ligatures w14:val="standardContextual"/>
        </w:rPr>
      </w:pPr>
      <w:hyperlink w:anchor="_Toc200007559" w:history="1">
        <w:r w:rsidRPr="003611F8">
          <w:rPr>
            <w:rStyle w:val="Hyperlink"/>
          </w:rPr>
          <w:t>2.</w:t>
        </w:r>
        <w:r>
          <w:rPr>
            <w:rFonts w:asciiTheme="minorHAnsi" w:eastAsiaTheme="minorEastAsia" w:hAnsiTheme="minorHAnsi"/>
            <w:b w:val="0"/>
            <w:bCs w:val="0"/>
            <w:color w:val="auto"/>
            <w:kern w:val="2"/>
            <w:szCs w:val="24"/>
            <w:lang w:eastAsia="en-GB"/>
            <w14:ligatures w14:val="standardContextual"/>
          </w:rPr>
          <w:tab/>
        </w:r>
        <w:r w:rsidRPr="003611F8">
          <w:rPr>
            <w:rStyle w:val="Hyperlink"/>
          </w:rPr>
          <w:t>Statement of Requirement</w:t>
        </w:r>
        <w:r>
          <w:rPr>
            <w:webHidden/>
          </w:rPr>
          <w:tab/>
        </w:r>
        <w:r>
          <w:rPr>
            <w:webHidden/>
          </w:rPr>
          <w:fldChar w:fldCharType="begin"/>
        </w:r>
        <w:r>
          <w:rPr>
            <w:webHidden/>
          </w:rPr>
          <w:instrText xml:space="preserve"> PAGEREF _Toc200007559 \h </w:instrText>
        </w:r>
        <w:r>
          <w:rPr>
            <w:webHidden/>
          </w:rPr>
        </w:r>
        <w:r>
          <w:rPr>
            <w:webHidden/>
          </w:rPr>
          <w:fldChar w:fldCharType="separate"/>
        </w:r>
        <w:r>
          <w:rPr>
            <w:webHidden/>
          </w:rPr>
          <w:t>7</w:t>
        </w:r>
        <w:r>
          <w:rPr>
            <w:webHidden/>
          </w:rPr>
          <w:fldChar w:fldCharType="end"/>
        </w:r>
      </w:hyperlink>
    </w:p>
    <w:p w14:paraId="75F2D3CC" w14:textId="7A5AAD5A"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0" w:history="1">
        <w:r w:rsidRPr="003611F8">
          <w:rPr>
            <w:rStyle w:val="Hyperlink"/>
            <w:noProof/>
          </w:rPr>
          <w:t>2.1 Background of the project</w:t>
        </w:r>
        <w:r>
          <w:rPr>
            <w:noProof/>
            <w:webHidden/>
          </w:rPr>
          <w:tab/>
        </w:r>
        <w:r>
          <w:rPr>
            <w:noProof/>
            <w:webHidden/>
          </w:rPr>
          <w:fldChar w:fldCharType="begin"/>
        </w:r>
        <w:r>
          <w:rPr>
            <w:noProof/>
            <w:webHidden/>
          </w:rPr>
          <w:instrText xml:space="preserve"> PAGEREF _Toc200007560 \h </w:instrText>
        </w:r>
        <w:r>
          <w:rPr>
            <w:noProof/>
            <w:webHidden/>
          </w:rPr>
        </w:r>
        <w:r>
          <w:rPr>
            <w:noProof/>
            <w:webHidden/>
          </w:rPr>
          <w:fldChar w:fldCharType="separate"/>
        </w:r>
        <w:r>
          <w:rPr>
            <w:noProof/>
            <w:webHidden/>
          </w:rPr>
          <w:t>7</w:t>
        </w:r>
        <w:r>
          <w:rPr>
            <w:noProof/>
            <w:webHidden/>
          </w:rPr>
          <w:fldChar w:fldCharType="end"/>
        </w:r>
      </w:hyperlink>
    </w:p>
    <w:p w14:paraId="7FB41DBC" w14:textId="1F9CDC80"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1" w:history="1">
        <w:r w:rsidRPr="003611F8">
          <w:rPr>
            <w:rStyle w:val="Hyperlink"/>
            <w:noProof/>
          </w:rPr>
          <w:t>2.2 Project Objectives and Scope</w:t>
        </w:r>
        <w:r>
          <w:rPr>
            <w:noProof/>
            <w:webHidden/>
          </w:rPr>
          <w:tab/>
        </w:r>
        <w:r>
          <w:rPr>
            <w:noProof/>
            <w:webHidden/>
          </w:rPr>
          <w:fldChar w:fldCharType="begin"/>
        </w:r>
        <w:r>
          <w:rPr>
            <w:noProof/>
            <w:webHidden/>
          </w:rPr>
          <w:instrText xml:space="preserve"> PAGEREF _Toc200007561 \h </w:instrText>
        </w:r>
        <w:r>
          <w:rPr>
            <w:noProof/>
            <w:webHidden/>
          </w:rPr>
        </w:r>
        <w:r>
          <w:rPr>
            <w:noProof/>
            <w:webHidden/>
          </w:rPr>
          <w:fldChar w:fldCharType="separate"/>
        </w:r>
        <w:r>
          <w:rPr>
            <w:noProof/>
            <w:webHidden/>
          </w:rPr>
          <w:t>7</w:t>
        </w:r>
        <w:r>
          <w:rPr>
            <w:noProof/>
            <w:webHidden/>
          </w:rPr>
          <w:fldChar w:fldCharType="end"/>
        </w:r>
      </w:hyperlink>
    </w:p>
    <w:p w14:paraId="3BE5B367" w14:textId="2CC4686B"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2" w:history="1">
        <w:r w:rsidRPr="003611F8">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_Toc200007562 \h </w:instrText>
        </w:r>
        <w:r>
          <w:rPr>
            <w:noProof/>
            <w:webHidden/>
          </w:rPr>
        </w:r>
        <w:r>
          <w:rPr>
            <w:noProof/>
            <w:webHidden/>
          </w:rPr>
          <w:fldChar w:fldCharType="separate"/>
        </w:r>
        <w:r>
          <w:rPr>
            <w:noProof/>
            <w:webHidden/>
          </w:rPr>
          <w:t>8</w:t>
        </w:r>
        <w:r>
          <w:rPr>
            <w:noProof/>
            <w:webHidden/>
          </w:rPr>
          <w:fldChar w:fldCharType="end"/>
        </w:r>
      </w:hyperlink>
    </w:p>
    <w:p w14:paraId="762044DD" w14:textId="729D49DE"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3" w:history="1">
        <w:r w:rsidRPr="003611F8">
          <w:rPr>
            <w:rStyle w:val="Hyperlink"/>
            <w:noProof/>
          </w:rPr>
          <w:t>2.4 Project Timescales</w:t>
        </w:r>
        <w:r>
          <w:rPr>
            <w:noProof/>
            <w:webHidden/>
          </w:rPr>
          <w:tab/>
        </w:r>
        <w:r>
          <w:rPr>
            <w:noProof/>
            <w:webHidden/>
          </w:rPr>
          <w:fldChar w:fldCharType="begin"/>
        </w:r>
        <w:r>
          <w:rPr>
            <w:noProof/>
            <w:webHidden/>
          </w:rPr>
          <w:instrText xml:space="preserve"> PAGEREF _Toc200007563 \h </w:instrText>
        </w:r>
        <w:r>
          <w:rPr>
            <w:noProof/>
            <w:webHidden/>
          </w:rPr>
        </w:r>
        <w:r>
          <w:rPr>
            <w:noProof/>
            <w:webHidden/>
          </w:rPr>
          <w:fldChar w:fldCharType="separate"/>
        </w:r>
        <w:r>
          <w:rPr>
            <w:noProof/>
            <w:webHidden/>
          </w:rPr>
          <w:t>9</w:t>
        </w:r>
        <w:r>
          <w:rPr>
            <w:noProof/>
            <w:webHidden/>
          </w:rPr>
          <w:fldChar w:fldCharType="end"/>
        </w:r>
      </w:hyperlink>
    </w:p>
    <w:p w14:paraId="4EFED94E" w14:textId="2AD50E35"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4" w:history="1">
        <w:r w:rsidRPr="003611F8">
          <w:rPr>
            <w:rStyle w:val="Hyperlink"/>
            <w:noProof/>
          </w:rPr>
          <w:t>2.5 Budget and Payment Schedule</w:t>
        </w:r>
        <w:r>
          <w:rPr>
            <w:noProof/>
            <w:webHidden/>
          </w:rPr>
          <w:tab/>
        </w:r>
        <w:r>
          <w:rPr>
            <w:noProof/>
            <w:webHidden/>
          </w:rPr>
          <w:fldChar w:fldCharType="begin"/>
        </w:r>
        <w:r>
          <w:rPr>
            <w:noProof/>
            <w:webHidden/>
          </w:rPr>
          <w:instrText xml:space="preserve"> PAGEREF _Toc200007564 \h </w:instrText>
        </w:r>
        <w:r>
          <w:rPr>
            <w:noProof/>
            <w:webHidden/>
          </w:rPr>
        </w:r>
        <w:r>
          <w:rPr>
            <w:noProof/>
            <w:webHidden/>
          </w:rPr>
          <w:fldChar w:fldCharType="separate"/>
        </w:r>
        <w:r>
          <w:rPr>
            <w:noProof/>
            <w:webHidden/>
          </w:rPr>
          <w:t>9</w:t>
        </w:r>
        <w:r>
          <w:rPr>
            <w:noProof/>
            <w:webHidden/>
          </w:rPr>
          <w:fldChar w:fldCharType="end"/>
        </w:r>
      </w:hyperlink>
    </w:p>
    <w:p w14:paraId="21E36B77" w14:textId="1A0B443F"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5" w:history="1">
        <w:r w:rsidRPr="003611F8">
          <w:rPr>
            <w:rStyle w:val="Hyperlink"/>
            <w:noProof/>
          </w:rPr>
          <w:t>2.6 Further project related information for bidders</w:t>
        </w:r>
        <w:r>
          <w:rPr>
            <w:noProof/>
            <w:webHidden/>
          </w:rPr>
          <w:tab/>
        </w:r>
        <w:r>
          <w:rPr>
            <w:noProof/>
            <w:webHidden/>
          </w:rPr>
          <w:fldChar w:fldCharType="begin"/>
        </w:r>
        <w:r>
          <w:rPr>
            <w:noProof/>
            <w:webHidden/>
          </w:rPr>
          <w:instrText xml:space="preserve"> PAGEREF _Toc200007565 \h </w:instrText>
        </w:r>
        <w:r>
          <w:rPr>
            <w:noProof/>
            <w:webHidden/>
          </w:rPr>
        </w:r>
        <w:r>
          <w:rPr>
            <w:noProof/>
            <w:webHidden/>
          </w:rPr>
          <w:fldChar w:fldCharType="separate"/>
        </w:r>
        <w:r>
          <w:rPr>
            <w:noProof/>
            <w:webHidden/>
          </w:rPr>
          <w:t>9</w:t>
        </w:r>
        <w:r>
          <w:rPr>
            <w:noProof/>
            <w:webHidden/>
          </w:rPr>
          <w:fldChar w:fldCharType="end"/>
        </w:r>
      </w:hyperlink>
    </w:p>
    <w:p w14:paraId="2C9E7DD0" w14:textId="3E86DB82" w:rsidR="00C47EF8" w:rsidRDefault="00C47EF8">
      <w:pPr>
        <w:pStyle w:val="TOC1"/>
        <w:rPr>
          <w:rFonts w:asciiTheme="minorHAnsi" w:eastAsiaTheme="minorEastAsia" w:hAnsiTheme="minorHAnsi"/>
          <w:b w:val="0"/>
          <w:bCs w:val="0"/>
          <w:color w:val="auto"/>
          <w:kern w:val="2"/>
          <w:szCs w:val="24"/>
          <w:lang w:eastAsia="en-GB"/>
          <w14:ligatures w14:val="standardContextual"/>
        </w:rPr>
      </w:pPr>
      <w:hyperlink w:anchor="_Toc200007566" w:history="1">
        <w:r w:rsidRPr="003611F8">
          <w:rPr>
            <w:rStyle w:val="Hyperlink"/>
          </w:rPr>
          <w:t>3.</w:t>
        </w:r>
        <w:r>
          <w:rPr>
            <w:rFonts w:asciiTheme="minorHAnsi" w:eastAsiaTheme="minorEastAsia" w:hAnsiTheme="minorHAnsi"/>
            <w:b w:val="0"/>
            <w:bCs w:val="0"/>
            <w:color w:val="auto"/>
            <w:kern w:val="2"/>
            <w:szCs w:val="24"/>
            <w:lang w:eastAsia="en-GB"/>
            <w14:ligatures w14:val="standardContextual"/>
          </w:rPr>
          <w:tab/>
        </w:r>
        <w:r w:rsidRPr="003611F8">
          <w:rPr>
            <w:rStyle w:val="Hyperlink"/>
          </w:rPr>
          <w:t>Tender Response and Evaluation Criteria</w:t>
        </w:r>
        <w:r>
          <w:rPr>
            <w:webHidden/>
          </w:rPr>
          <w:tab/>
        </w:r>
        <w:r>
          <w:rPr>
            <w:webHidden/>
          </w:rPr>
          <w:fldChar w:fldCharType="begin"/>
        </w:r>
        <w:r>
          <w:rPr>
            <w:webHidden/>
          </w:rPr>
          <w:instrText xml:space="preserve"> PAGEREF _Toc200007566 \h </w:instrText>
        </w:r>
        <w:r>
          <w:rPr>
            <w:webHidden/>
          </w:rPr>
        </w:r>
        <w:r>
          <w:rPr>
            <w:webHidden/>
          </w:rPr>
          <w:fldChar w:fldCharType="separate"/>
        </w:r>
        <w:r>
          <w:rPr>
            <w:webHidden/>
          </w:rPr>
          <w:t>11</w:t>
        </w:r>
        <w:r>
          <w:rPr>
            <w:webHidden/>
          </w:rPr>
          <w:fldChar w:fldCharType="end"/>
        </w:r>
      </w:hyperlink>
    </w:p>
    <w:p w14:paraId="574D5646" w14:textId="05A31D3B"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7" w:history="1">
        <w:r w:rsidRPr="003611F8">
          <w:rPr>
            <w:rStyle w:val="Hyperlink"/>
            <w:noProof/>
          </w:rPr>
          <w:t>3.1 The Tender Response</w:t>
        </w:r>
        <w:r>
          <w:rPr>
            <w:noProof/>
            <w:webHidden/>
          </w:rPr>
          <w:tab/>
        </w:r>
        <w:r>
          <w:rPr>
            <w:noProof/>
            <w:webHidden/>
          </w:rPr>
          <w:fldChar w:fldCharType="begin"/>
        </w:r>
        <w:r>
          <w:rPr>
            <w:noProof/>
            <w:webHidden/>
          </w:rPr>
          <w:instrText xml:space="preserve"> PAGEREF _Toc200007567 \h </w:instrText>
        </w:r>
        <w:r>
          <w:rPr>
            <w:noProof/>
            <w:webHidden/>
          </w:rPr>
        </w:r>
        <w:r>
          <w:rPr>
            <w:noProof/>
            <w:webHidden/>
          </w:rPr>
          <w:fldChar w:fldCharType="separate"/>
        </w:r>
        <w:r>
          <w:rPr>
            <w:noProof/>
            <w:webHidden/>
          </w:rPr>
          <w:t>11</w:t>
        </w:r>
        <w:r>
          <w:rPr>
            <w:noProof/>
            <w:webHidden/>
          </w:rPr>
          <w:fldChar w:fldCharType="end"/>
        </w:r>
      </w:hyperlink>
    </w:p>
    <w:p w14:paraId="4CF3A0BB" w14:textId="028E08C5"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68" w:history="1">
        <w:r w:rsidRPr="003611F8">
          <w:rPr>
            <w:rStyle w:val="Hyperlink"/>
            <w:noProof/>
          </w:rPr>
          <w:t>3.2 Evaluation Criteria</w:t>
        </w:r>
        <w:r>
          <w:rPr>
            <w:noProof/>
            <w:webHidden/>
          </w:rPr>
          <w:tab/>
        </w:r>
        <w:r>
          <w:rPr>
            <w:noProof/>
            <w:webHidden/>
          </w:rPr>
          <w:fldChar w:fldCharType="begin"/>
        </w:r>
        <w:r>
          <w:rPr>
            <w:noProof/>
            <w:webHidden/>
          </w:rPr>
          <w:instrText xml:space="preserve"> PAGEREF _Toc200007568 \h </w:instrText>
        </w:r>
        <w:r>
          <w:rPr>
            <w:noProof/>
            <w:webHidden/>
          </w:rPr>
        </w:r>
        <w:r>
          <w:rPr>
            <w:noProof/>
            <w:webHidden/>
          </w:rPr>
          <w:fldChar w:fldCharType="separate"/>
        </w:r>
        <w:r>
          <w:rPr>
            <w:noProof/>
            <w:webHidden/>
          </w:rPr>
          <w:t>12</w:t>
        </w:r>
        <w:r>
          <w:rPr>
            <w:noProof/>
            <w:webHidden/>
          </w:rPr>
          <w:fldChar w:fldCharType="end"/>
        </w:r>
      </w:hyperlink>
    </w:p>
    <w:p w14:paraId="396A15F4" w14:textId="5863883D" w:rsidR="00C47EF8" w:rsidRDefault="00C47EF8">
      <w:pPr>
        <w:pStyle w:val="TOC1"/>
        <w:rPr>
          <w:rFonts w:asciiTheme="minorHAnsi" w:eastAsiaTheme="minorEastAsia" w:hAnsiTheme="minorHAnsi"/>
          <w:b w:val="0"/>
          <w:bCs w:val="0"/>
          <w:color w:val="auto"/>
          <w:kern w:val="2"/>
          <w:szCs w:val="24"/>
          <w:lang w:eastAsia="en-GB"/>
          <w14:ligatures w14:val="standardContextual"/>
        </w:rPr>
      </w:pPr>
      <w:hyperlink w:anchor="_Toc200007569" w:history="1">
        <w:r w:rsidRPr="003611F8">
          <w:rPr>
            <w:rStyle w:val="Hyperlink"/>
          </w:rPr>
          <w:t>4.</w:t>
        </w:r>
        <w:r>
          <w:rPr>
            <w:rFonts w:asciiTheme="minorHAnsi" w:eastAsiaTheme="minorEastAsia" w:hAnsiTheme="minorHAnsi"/>
            <w:b w:val="0"/>
            <w:bCs w:val="0"/>
            <w:color w:val="auto"/>
            <w:kern w:val="2"/>
            <w:szCs w:val="24"/>
            <w:lang w:eastAsia="en-GB"/>
            <w14:ligatures w14:val="standardContextual"/>
          </w:rPr>
          <w:tab/>
        </w:r>
        <w:r w:rsidRPr="003611F8">
          <w:rPr>
            <w:rStyle w:val="Hyperlink"/>
          </w:rPr>
          <w:t>Procurement Procedures</w:t>
        </w:r>
        <w:r>
          <w:rPr>
            <w:webHidden/>
          </w:rPr>
          <w:tab/>
        </w:r>
        <w:r>
          <w:rPr>
            <w:webHidden/>
          </w:rPr>
          <w:fldChar w:fldCharType="begin"/>
        </w:r>
        <w:r>
          <w:rPr>
            <w:webHidden/>
          </w:rPr>
          <w:instrText xml:space="preserve"> PAGEREF _Toc200007569 \h </w:instrText>
        </w:r>
        <w:r>
          <w:rPr>
            <w:webHidden/>
          </w:rPr>
        </w:r>
        <w:r>
          <w:rPr>
            <w:webHidden/>
          </w:rPr>
          <w:fldChar w:fldCharType="separate"/>
        </w:r>
        <w:r>
          <w:rPr>
            <w:webHidden/>
          </w:rPr>
          <w:t>16</w:t>
        </w:r>
        <w:r>
          <w:rPr>
            <w:webHidden/>
          </w:rPr>
          <w:fldChar w:fldCharType="end"/>
        </w:r>
      </w:hyperlink>
    </w:p>
    <w:p w14:paraId="35D8FA52" w14:textId="2161D3AB"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70" w:history="1">
        <w:r w:rsidRPr="003611F8">
          <w:rPr>
            <w:rStyle w:val="Hyperlink"/>
            <w:noProof/>
          </w:rPr>
          <w:t>Tendering Timetable</w:t>
        </w:r>
        <w:r>
          <w:rPr>
            <w:noProof/>
            <w:webHidden/>
          </w:rPr>
          <w:tab/>
        </w:r>
        <w:r>
          <w:rPr>
            <w:noProof/>
            <w:webHidden/>
          </w:rPr>
          <w:fldChar w:fldCharType="begin"/>
        </w:r>
        <w:r>
          <w:rPr>
            <w:noProof/>
            <w:webHidden/>
          </w:rPr>
          <w:instrText xml:space="preserve"> PAGEREF _Toc200007570 \h </w:instrText>
        </w:r>
        <w:r>
          <w:rPr>
            <w:noProof/>
            <w:webHidden/>
          </w:rPr>
        </w:r>
        <w:r>
          <w:rPr>
            <w:noProof/>
            <w:webHidden/>
          </w:rPr>
          <w:fldChar w:fldCharType="separate"/>
        </w:r>
        <w:r>
          <w:rPr>
            <w:noProof/>
            <w:webHidden/>
          </w:rPr>
          <w:t>16</w:t>
        </w:r>
        <w:r>
          <w:rPr>
            <w:noProof/>
            <w:webHidden/>
          </w:rPr>
          <w:fldChar w:fldCharType="end"/>
        </w:r>
      </w:hyperlink>
    </w:p>
    <w:p w14:paraId="6007FCF8" w14:textId="74188AE0" w:rsidR="00C47EF8" w:rsidRDefault="00C47EF8">
      <w:pPr>
        <w:pStyle w:val="TOC2"/>
        <w:tabs>
          <w:tab w:val="right" w:pos="9628"/>
        </w:tabs>
        <w:rPr>
          <w:rFonts w:asciiTheme="minorHAnsi" w:eastAsiaTheme="minorEastAsia" w:hAnsiTheme="minorHAnsi"/>
          <w:noProof/>
          <w:kern w:val="2"/>
          <w:szCs w:val="24"/>
          <w:lang w:eastAsia="en-GB"/>
          <w14:ligatures w14:val="standardContextual"/>
        </w:rPr>
      </w:pPr>
      <w:hyperlink w:anchor="_Toc200007571" w:history="1">
        <w:r w:rsidRPr="003611F8">
          <w:rPr>
            <w:rStyle w:val="Hyperlink"/>
            <w:noProof/>
          </w:rPr>
          <w:t>Tendering Instructions and Guidance</w:t>
        </w:r>
        <w:r>
          <w:rPr>
            <w:noProof/>
            <w:webHidden/>
          </w:rPr>
          <w:tab/>
        </w:r>
        <w:r>
          <w:rPr>
            <w:noProof/>
            <w:webHidden/>
          </w:rPr>
          <w:fldChar w:fldCharType="begin"/>
        </w:r>
        <w:r>
          <w:rPr>
            <w:noProof/>
            <w:webHidden/>
          </w:rPr>
          <w:instrText xml:space="preserve"> PAGEREF _Toc200007571 \h </w:instrText>
        </w:r>
        <w:r>
          <w:rPr>
            <w:noProof/>
            <w:webHidden/>
          </w:rPr>
        </w:r>
        <w:r>
          <w:rPr>
            <w:noProof/>
            <w:webHidden/>
          </w:rPr>
          <w:fldChar w:fldCharType="separate"/>
        </w:r>
        <w:r>
          <w:rPr>
            <w:noProof/>
            <w:webHidden/>
          </w:rPr>
          <w:t>16</w:t>
        </w:r>
        <w:r>
          <w:rPr>
            <w:noProof/>
            <w:webHidden/>
          </w:rPr>
          <w:fldChar w:fldCharType="end"/>
        </w:r>
      </w:hyperlink>
    </w:p>
    <w:p w14:paraId="6B48D324" w14:textId="2D80A67D"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200007554"/>
      <w:r>
        <w:lastRenderedPageBreak/>
        <w:t>Purpose of the document</w:t>
      </w:r>
      <w:bookmarkEnd w:id="4"/>
    </w:p>
    <w:p w14:paraId="5CB061E3" w14:textId="7BA41B38" w:rsidR="00A02455" w:rsidRDefault="00A02455" w:rsidP="00A02455">
      <w:r>
        <w:t xml:space="preserve">The purpose of this document is to invite proposals for </w:t>
      </w:r>
      <w:r w:rsidR="00AC608C" w:rsidRPr="00AC608C">
        <w:rPr>
          <w:b/>
          <w:bCs/>
        </w:rPr>
        <w:t>a horizon scanning study of rail markets</w:t>
      </w:r>
      <w:r w:rsidR="00AC608C" w:rsidRPr="00AC608C">
        <w:rPr>
          <w:b/>
          <w:bCs/>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200007555"/>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200007556"/>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200007557"/>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200007558"/>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200007559"/>
      <w:r>
        <w:lastRenderedPageBreak/>
        <w:t>Statement of Requirement</w:t>
      </w:r>
      <w:bookmarkEnd w:id="9"/>
    </w:p>
    <w:p w14:paraId="0C918979" w14:textId="4CE3B4F2" w:rsidR="00F20E70" w:rsidRDefault="00F20E70" w:rsidP="00F20E70">
      <w:pPr>
        <w:pStyle w:val="Heading3"/>
      </w:pPr>
      <w:bookmarkStart w:id="10" w:name="_Toc200007560"/>
      <w:r>
        <w:t>2.1 Background of the project</w:t>
      </w:r>
      <w:bookmarkEnd w:id="10"/>
    </w:p>
    <w:p w14:paraId="6B143224" w14:textId="77777777" w:rsidR="00AC608C" w:rsidRDefault="00AC608C" w:rsidP="00AC608C">
      <w:pPr>
        <w:pStyle w:val="NormalBulletround"/>
        <w:numPr>
          <w:ilvl w:val="4"/>
          <w:numId w:val="0"/>
        </w:numPr>
      </w:pPr>
      <w:r>
        <w:t xml:space="preserve">ORR is the independent economic and safety regulator for Britain’s railways and is responsible for monitoring the performance and efficiency for England’s Strategic Road Network. ORR is also the competition authority for the railways in Great Britain. </w:t>
      </w:r>
    </w:p>
    <w:p w14:paraId="00D46EC4" w14:textId="77777777" w:rsidR="00AC608C" w:rsidRDefault="00AC608C" w:rsidP="00AC608C">
      <w:pPr>
        <w:pStyle w:val="NormalBulletround"/>
        <w:numPr>
          <w:ilvl w:val="4"/>
          <w:numId w:val="0"/>
        </w:numPr>
      </w:pPr>
      <w:r>
        <w:t>ORR has a statutory duty to promote competition in the provision of railway services for the benefit of users of these services. ORR also has a duty to have regard to the funds available to the Secretary of State for the purposes of his functions in relation to railways or railway services.</w:t>
      </w:r>
    </w:p>
    <w:p w14:paraId="70AA0707" w14:textId="77777777" w:rsidR="00AC608C" w:rsidRDefault="00AC608C" w:rsidP="00AC608C">
      <w:pPr>
        <w:pStyle w:val="NormalBulletround"/>
        <w:numPr>
          <w:ilvl w:val="4"/>
          <w:numId w:val="0"/>
        </w:numPr>
      </w:pPr>
      <w:r w:rsidRPr="00971483">
        <w:t xml:space="preserve">ORR has a duty to keep the provision of railway services under review; to monitor the competitive situation in the rail services markets; and to take appropriate measures where markets are not working to the benefit of consumers or taxpayers. We discharge this duty by looking for markets where there appear to be issues that warrant further attention. We identify those markets in response to a complaint, information from an interested party, or our own intelligence gathering. </w:t>
      </w:r>
    </w:p>
    <w:p w14:paraId="45DC8FBB" w14:textId="681C465C" w:rsidR="00AC608C" w:rsidRDefault="00AC608C" w:rsidP="00AC608C">
      <w:pPr>
        <w:pStyle w:val="NormalBulletround"/>
        <w:numPr>
          <w:ilvl w:val="4"/>
          <w:numId w:val="0"/>
        </w:numPr>
      </w:pPr>
      <w:r>
        <w:t xml:space="preserve">ORR’s powers in this area are granted via the </w:t>
      </w:r>
      <w:r w:rsidRPr="00971483">
        <w:t xml:space="preserve">Enterprise Act 2002. This act provides the legal framework under which the ORR conducts market studies and other competition-related activities. </w:t>
      </w:r>
      <w:r>
        <w:t>M</w:t>
      </w:r>
      <w:r w:rsidRPr="00971483">
        <w:t xml:space="preserve">arket studies are formal examinations into the causes of why particular markets may not be working well. </w:t>
      </w:r>
    </w:p>
    <w:p w14:paraId="3982C570" w14:textId="77777777" w:rsidR="00AC608C" w:rsidRDefault="00AC608C" w:rsidP="00AC608C">
      <w:pPr>
        <w:pStyle w:val="NormalBulletround"/>
        <w:numPr>
          <w:ilvl w:val="4"/>
          <w:numId w:val="0"/>
        </w:numPr>
      </w:pPr>
      <w:r>
        <w:t xml:space="preserve">This work is being commissioned by ORR’s Competition Team. ORR’s competition activities span a range of work, including market reviews and market studies, as well as a range of other activities to promote competition. </w:t>
      </w:r>
    </w:p>
    <w:p w14:paraId="68DD1E9F" w14:textId="77777777" w:rsidR="00AC608C" w:rsidRDefault="00AC608C" w:rsidP="00AC608C">
      <w:pPr>
        <w:pStyle w:val="Numberedparagraphdouble"/>
        <w:numPr>
          <w:ilvl w:val="0"/>
          <w:numId w:val="0"/>
        </w:numPr>
        <w:rPr>
          <w:b/>
        </w:rPr>
      </w:pPr>
      <w:r>
        <w:t>T</w:t>
      </w:r>
      <w:r w:rsidRPr="00A52D19">
        <w:t xml:space="preserve">o fulfil this </w:t>
      </w:r>
      <w:proofErr w:type="gramStart"/>
      <w:r w:rsidRPr="00A52D19">
        <w:t>function</w:t>
      </w:r>
      <w:proofErr w:type="gramEnd"/>
      <w:r w:rsidRPr="00A52D19">
        <w:t xml:space="preserve"> we are commissioning an external supplier to provide a horizon scanning study to identify and investigate candidate rail markets that could warrant a market review or study.</w:t>
      </w:r>
      <w:r>
        <w:rPr>
          <w:b/>
        </w:rPr>
        <w:t xml:space="preserve"> </w:t>
      </w:r>
      <w:r w:rsidRPr="00797361">
        <w:rPr>
          <w:bCs/>
        </w:rPr>
        <w:t xml:space="preserve">This consultancy piece will form part of our evidence-base </w:t>
      </w:r>
      <w:r>
        <w:rPr>
          <w:bCs/>
        </w:rPr>
        <w:t>in determining markets to focus on in the future.</w:t>
      </w:r>
    </w:p>
    <w:p w14:paraId="74919ACA" w14:textId="178F61FF" w:rsidR="00F20E70" w:rsidRDefault="00F20E70" w:rsidP="00F20E70">
      <w:pPr>
        <w:pStyle w:val="Heading3"/>
      </w:pPr>
      <w:bookmarkStart w:id="11" w:name="_Toc200007561"/>
      <w:r>
        <w:t>2.2 Project Objectives and Scope</w:t>
      </w:r>
      <w:bookmarkEnd w:id="11"/>
    </w:p>
    <w:p w14:paraId="5DAABF3B" w14:textId="77777777" w:rsidR="00AC608C" w:rsidRDefault="00AC608C" w:rsidP="00AC608C">
      <w:pPr>
        <w:rPr>
          <w:rFonts w:cs="Arial"/>
        </w:rPr>
      </w:pPr>
      <w:r w:rsidRPr="19F512E0">
        <w:rPr>
          <w:rFonts w:cs="Arial"/>
        </w:rPr>
        <w:t xml:space="preserve">This project is looking for consultancy support to undertake a horizon scanning exercise of rail markets to support our Competition team in </w:t>
      </w:r>
      <w:r>
        <w:rPr>
          <w:rFonts w:cs="Arial"/>
        </w:rPr>
        <w:t>developing</w:t>
      </w:r>
      <w:r w:rsidRPr="19F512E0">
        <w:rPr>
          <w:rFonts w:cs="Arial"/>
        </w:rPr>
        <w:t xml:space="preserve"> a potential competition pipeline. </w:t>
      </w:r>
      <w:proofErr w:type="gramStart"/>
      <w:r w:rsidRPr="19F512E0">
        <w:rPr>
          <w:rFonts w:cs="Arial"/>
        </w:rPr>
        <w:t>In particular this</w:t>
      </w:r>
      <w:proofErr w:type="gramEnd"/>
      <w:r w:rsidRPr="19F512E0">
        <w:rPr>
          <w:rFonts w:cs="Arial"/>
        </w:rPr>
        <w:t xml:space="preserve"> should identify a market or markets where competition may be </w:t>
      </w:r>
      <w:r w:rsidRPr="19F512E0">
        <w:rPr>
          <w:rFonts w:cs="Arial"/>
        </w:rPr>
        <w:lastRenderedPageBreak/>
        <w:t>being restricted and with a particular focus on significance in terms of growth and investment.</w:t>
      </w:r>
    </w:p>
    <w:p w14:paraId="7A772115" w14:textId="77777777" w:rsidR="00AC608C" w:rsidRDefault="00AC608C" w:rsidP="00AC608C">
      <w:pPr>
        <w:rPr>
          <w:rFonts w:cs="Arial"/>
        </w:rPr>
      </w:pPr>
      <w:r w:rsidRPr="19F512E0">
        <w:rPr>
          <w:rFonts w:cs="Arial"/>
        </w:rPr>
        <w:t>Horizon scanning should take account of and avoid overlap with any current competition initiatives by other regulators.</w:t>
      </w:r>
    </w:p>
    <w:p w14:paraId="69A75C90" w14:textId="4E7D31A8" w:rsidR="003F3CB0" w:rsidRDefault="003F3CB0" w:rsidP="003F3CB0">
      <w:pPr>
        <w:pStyle w:val="Heading3"/>
      </w:pPr>
      <w:bookmarkStart w:id="12" w:name="_Toc200007562"/>
      <w:r w:rsidRPr="003F3CB0">
        <w:t>2.3 Project Outputs, Deliverables and Contract Management</w:t>
      </w:r>
      <w:bookmarkEnd w:id="12"/>
    </w:p>
    <w:p w14:paraId="480D8983" w14:textId="77777777" w:rsidR="00DB02EF" w:rsidRDefault="00DB02EF" w:rsidP="00DB02EF">
      <w:pPr>
        <w:pStyle w:val="Heading4"/>
      </w:pPr>
      <w:r>
        <w:t>Outputs and Deliverables</w:t>
      </w:r>
    </w:p>
    <w:p w14:paraId="3031D5FC" w14:textId="77777777" w:rsidR="00AC608C" w:rsidRDefault="00AC608C" w:rsidP="00AC608C">
      <w:pPr>
        <w:spacing w:before="240"/>
        <w:rPr>
          <w:rFonts w:eastAsia="Arial" w:cs="Arial"/>
          <w:color w:val="0E101A"/>
          <w:lang w:eastAsia="en-GB"/>
        </w:rPr>
      </w:pPr>
      <w:r w:rsidRPr="19F512E0">
        <w:rPr>
          <w:rFonts w:eastAsia="Arial" w:cs="Arial"/>
          <w:color w:val="0E101A"/>
          <w:lang w:eastAsia="en-GB"/>
        </w:rPr>
        <w:t>Bidders should set out their proposed approach to this horizon scanning exercise</w:t>
      </w:r>
      <w:r>
        <w:rPr>
          <w:rFonts w:eastAsia="Arial" w:cs="Arial"/>
          <w:color w:val="0E101A"/>
          <w:lang w:eastAsia="en-GB"/>
        </w:rPr>
        <w:t xml:space="preserve"> in their proposal</w:t>
      </w:r>
      <w:r w:rsidRPr="19F512E0">
        <w:rPr>
          <w:rFonts w:eastAsia="Arial" w:cs="Arial"/>
          <w:color w:val="0E101A"/>
          <w:lang w:eastAsia="en-GB"/>
        </w:rPr>
        <w:t xml:space="preserve">. </w:t>
      </w:r>
      <w:r w:rsidRPr="008B708C">
        <w:rPr>
          <w:rFonts w:eastAsia="Arial" w:cs="Arial"/>
          <w:b/>
          <w:bCs/>
          <w:color w:val="0E101A"/>
          <w:lang w:eastAsia="en-GB"/>
        </w:rPr>
        <w:t>The supplier should prepare a project plan and present it with the proposal</w:t>
      </w:r>
      <w:r w:rsidRPr="00551869">
        <w:rPr>
          <w:rFonts w:eastAsia="Arial" w:cs="Arial"/>
          <w:color w:val="0E101A"/>
          <w:lang w:eastAsia="en-GB"/>
        </w:rPr>
        <w:t>.</w:t>
      </w:r>
      <w:r>
        <w:rPr>
          <w:rFonts w:eastAsia="Arial" w:cs="Arial"/>
          <w:color w:val="0E101A"/>
          <w:lang w:eastAsia="en-GB"/>
        </w:rPr>
        <w:t xml:space="preserve"> </w:t>
      </w:r>
      <w:r w:rsidRPr="19F512E0">
        <w:rPr>
          <w:rFonts w:eastAsia="Arial" w:cs="Arial"/>
          <w:color w:val="0E101A"/>
          <w:lang w:eastAsia="en-GB"/>
        </w:rPr>
        <w:t xml:space="preserve">Important things to note in considering </w:t>
      </w:r>
      <w:r>
        <w:rPr>
          <w:rFonts w:eastAsia="Arial" w:cs="Arial"/>
          <w:color w:val="0E101A"/>
          <w:lang w:eastAsia="en-GB"/>
        </w:rPr>
        <w:t>how bidders will</w:t>
      </w:r>
      <w:r w:rsidRPr="19F512E0">
        <w:rPr>
          <w:rFonts w:eastAsia="Arial" w:cs="Arial"/>
          <w:color w:val="0E101A"/>
          <w:lang w:eastAsia="en-GB"/>
        </w:rPr>
        <w:t xml:space="preserve"> approach </w:t>
      </w:r>
      <w:r>
        <w:rPr>
          <w:rFonts w:eastAsia="Arial" w:cs="Arial"/>
          <w:color w:val="0E101A"/>
          <w:lang w:eastAsia="en-GB"/>
        </w:rPr>
        <w:t xml:space="preserve">this work </w:t>
      </w:r>
      <w:r w:rsidRPr="19F512E0">
        <w:rPr>
          <w:rFonts w:eastAsia="Arial" w:cs="Arial"/>
          <w:color w:val="0E101A"/>
          <w:lang w:eastAsia="en-GB"/>
        </w:rPr>
        <w:t>are:</w:t>
      </w:r>
    </w:p>
    <w:p w14:paraId="02EAE55D" w14:textId="77777777" w:rsidR="00AC608C" w:rsidRPr="00032BDA" w:rsidRDefault="00AC608C" w:rsidP="00AC608C">
      <w:pPr>
        <w:pStyle w:val="NormalBulletround"/>
      </w:pPr>
      <w:r w:rsidRPr="00032BDA">
        <w:t>Initial identification of longlist of possible candidates.</w:t>
      </w:r>
    </w:p>
    <w:p w14:paraId="086DD8D6" w14:textId="77777777" w:rsidR="00AC608C" w:rsidRPr="00032BDA" w:rsidRDefault="00AC608C" w:rsidP="00AC608C">
      <w:pPr>
        <w:pStyle w:val="NormalBulletround"/>
      </w:pPr>
      <w:r w:rsidRPr="00032BDA">
        <w:t xml:space="preserve">Early stocktake with ORR towards agreed shortlist (ideally </w:t>
      </w:r>
      <w:r>
        <w:t>three to six</w:t>
      </w:r>
      <w:r w:rsidRPr="00032BDA">
        <w:t xml:space="preserve"> candidates).</w:t>
      </w:r>
    </w:p>
    <w:p w14:paraId="7924381F" w14:textId="77777777" w:rsidR="00AC608C" w:rsidRPr="00032BDA" w:rsidRDefault="00AC608C" w:rsidP="00AC608C">
      <w:pPr>
        <w:pStyle w:val="NormalBulletround"/>
      </w:pPr>
      <w:r w:rsidRPr="00032BDA">
        <w:t>More in-depth look by consultants to evaluate strengths and weaknesses of shortlist candidates</w:t>
      </w:r>
      <w:r>
        <w:t xml:space="preserve"> </w:t>
      </w:r>
      <w:r w:rsidRPr="00032BDA">
        <w:t>(</w:t>
      </w:r>
      <w:r>
        <w:t xml:space="preserve">predominately </w:t>
      </w:r>
      <w:r w:rsidRPr="00032BDA">
        <w:t>desk</w:t>
      </w:r>
      <w:r>
        <w:t xml:space="preserve">-based </w:t>
      </w:r>
      <w:r w:rsidRPr="00032BDA">
        <w:t xml:space="preserve">research; </w:t>
      </w:r>
      <w:r>
        <w:t>possibility of interviews to be discussed with ORR</w:t>
      </w:r>
      <w:r w:rsidRPr="00032BDA">
        <w:t>).</w:t>
      </w:r>
    </w:p>
    <w:p w14:paraId="7D89FECD" w14:textId="77777777" w:rsidR="00AC608C" w:rsidRDefault="00AC608C" w:rsidP="00AC608C">
      <w:pPr>
        <w:pStyle w:val="NormalBulletround"/>
      </w:pPr>
      <w:r w:rsidRPr="00032BDA">
        <w:t>Final report (</w:t>
      </w:r>
      <w:r>
        <w:t xml:space="preserve">in MS </w:t>
      </w:r>
      <w:r w:rsidRPr="00032BDA">
        <w:t xml:space="preserve">Word </w:t>
      </w:r>
      <w:r>
        <w:t>format</w:t>
      </w:r>
      <w:r w:rsidRPr="00032BDA">
        <w:t>) and presentation</w:t>
      </w:r>
      <w:r>
        <w:t xml:space="preserve"> (in MS PowerPoint)</w:t>
      </w:r>
      <w:r w:rsidRPr="00032BDA">
        <w:t xml:space="preserve"> to ORR o</w:t>
      </w:r>
      <w:r>
        <w:t>n</w:t>
      </w:r>
      <w:r w:rsidRPr="00032BDA">
        <w:t xml:space="preserve"> conclusions.</w:t>
      </w:r>
    </w:p>
    <w:p w14:paraId="3200F1A3" w14:textId="77777777" w:rsidR="00AC608C" w:rsidRPr="00CE2450" w:rsidRDefault="00AC608C" w:rsidP="00AC608C">
      <w:pPr>
        <w:rPr>
          <w:rFonts w:cs="Arial"/>
          <w:szCs w:val="24"/>
        </w:rPr>
      </w:pPr>
      <w:r w:rsidRPr="007C7AC8">
        <w:rPr>
          <w:rFonts w:cs="Arial"/>
          <w:szCs w:val="24"/>
        </w:rPr>
        <w:t>The following are the expected outputs and deliverables of this study:</w:t>
      </w:r>
    </w:p>
    <w:p w14:paraId="6942DB18" w14:textId="77777777" w:rsidR="00AC608C" w:rsidRPr="00CE2450" w:rsidRDefault="00AC608C" w:rsidP="00AC608C">
      <w:pPr>
        <w:pStyle w:val="NormalBulletround"/>
      </w:pPr>
      <w:r w:rsidRPr="00CE2450">
        <w:t xml:space="preserve">Initial presentation of a longlist </w:t>
      </w:r>
      <w:r>
        <w:t xml:space="preserve">of candidate markets </w:t>
      </w:r>
      <w:r w:rsidRPr="00CE2450">
        <w:t>for discussion with ORR towards agree</w:t>
      </w:r>
      <w:r>
        <w:t>ing a</w:t>
      </w:r>
      <w:r w:rsidRPr="00CE2450">
        <w:t xml:space="preserve"> shortlist </w:t>
      </w:r>
      <w:r>
        <w:t xml:space="preserve">of candidate markets </w:t>
      </w:r>
      <w:r w:rsidRPr="00CE2450">
        <w:t>(</w:t>
      </w:r>
      <w:r>
        <w:t>4</w:t>
      </w:r>
      <w:r w:rsidRPr="00CE2450">
        <w:t xml:space="preserve"> weeks)</w:t>
      </w:r>
      <w:r>
        <w:t>.</w:t>
      </w:r>
    </w:p>
    <w:p w14:paraId="44DC229A" w14:textId="77777777" w:rsidR="00AC608C" w:rsidRPr="00CE2450" w:rsidRDefault="00AC608C" w:rsidP="00AC608C">
      <w:pPr>
        <w:pStyle w:val="NormalBulletround"/>
      </w:pPr>
      <w:r>
        <w:t>Produce a d</w:t>
      </w:r>
      <w:r w:rsidRPr="00CE2450">
        <w:t xml:space="preserve">raft report evaluating </w:t>
      </w:r>
      <w:r>
        <w:t xml:space="preserve">the </w:t>
      </w:r>
      <w:r w:rsidRPr="00CE2450">
        <w:t>strength</w:t>
      </w:r>
      <w:r>
        <w:t>s</w:t>
      </w:r>
      <w:r w:rsidRPr="00CE2450">
        <w:t xml:space="preserve"> and weakness</w:t>
      </w:r>
      <w:r>
        <w:t>es</w:t>
      </w:r>
      <w:r w:rsidRPr="00CE2450">
        <w:t xml:space="preserve"> of </w:t>
      </w:r>
      <w:r>
        <w:t xml:space="preserve">the agreed </w:t>
      </w:r>
      <w:r w:rsidRPr="00CE2450">
        <w:t xml:space="preserve">shortlist </w:t>
      </w:r>
      <w:r>
        <w:t xml:space="preserve">of candidate markets </w:t>
      </w:r>
      <w:r w:rsidRPr="00CE2450">
        <w:t>for ORR comment (5 weeks)</w:t>
      </w:r>
      <w:r>
        <w:t>.</w:t>
      </w:r>
    </w:p>
    <w:p w14:paraId="4C284397" w14:textId="77777777" w:rsidR="00AC608C" w:rsidRDefault="00AC608C" w:rsidP="00AC608C">
      <w:pPr>
        <w:pStyle w:val="NormalBulletround"/>
      </w:pPr>
      <w:r>
        <w:t>Prepare a f</w:t>
      </w:r>
      <w:r w:rsidRPr="00CE2450">
        <w:t>inal report and presentation to ORR of conclusions</w:t>
      </w:r>
      <w:r>
        <w:t>. Present final conclusions to ORR</w:t>
      </w:r>
      <w:r w:rsidRPr="00CE2450">
        <w:t xml:space="preserve"> (1 week)</w:t>
      </w:r>
      <w:r>
        <w:t>.</w:t>
      </w:r>
    </w:p>
    <w:p w14:paraId="3FB5C2EF" w14:textId="69C6C9A7" w:rsidR="00AC608C" w:rsidRDefault="00AC608C" w:rsidP="00AC608C">
      <w:pPr>
        <w:spacing w:after="0"/>
        <w:rPr>
          <w:rFonts w:cs="Arial"/>
          <w:szCs w:val="24"/>
        </w:rPr>
      </w:pPr>
      <w:r>
        <w:rPr>
          <w:rFonts w:cs="Arial"/>
          <w:szCs w:val="24"/>
        </w:rPr>
        <w:t xml:space="preserve">We </w:t>
      </w:r>
      <w:r w:rsidRPr="00CE2450">
        <w:rPr>
          <w:rFonts w:cs="Arial"/>
          <w:szCs w:val="24"/>
        </w:rPr>
        <w:t>anticipate th</w:t>
      </w:r>
      <w:r>
        <w:rPr>
          <w:rFonts w:cs="Arial"/>
          <w:szCs w:val="24"/>
        </w:rPr>
        <w:t>is</w:t>
      </w:r>
      <w:r w:rsidRPr="00CE2450">
        <w:rPr>
          <w:rFonts w:cs="Arial"/>
          <w:szCs w:val="24"/>
        </w:rPr>
        <w:t xml:space="preserve"> project taking</w:t>
      </w:r>
      <w:r>
        <w:rPr>
          <w:rFonts w:cs="Arial"/>
          <w:szCs w:val="24"/>
        </w:rPr>
        <w:t xml:space="preserve"> </w:t>
      </w:r>
      <w:r w:rsidR="008B708C">
        <w:rPr>
          <w:rFonts w:cs="Arial"/>
          <w:szCs w:val="24"/>
        </w:rPr>
        <w:t>ten</w:t>
      </w:r>
      <w:r w:rsidRPr="00CE2450">
        <w:rPr>
          <w:rFonts w:cs="Arial"/>
          <w:szCs w:val="24"/>
        </w:rPr>
        <w:t xml:space="preserve"> weeks</w:t>
      </w:r>
      <w:r>
        <w:rPr>
          <w:rFonts w:cs="Arial"/>
          <w:szCs w:val="24"/>
        </w:rPr>
        <w:t xml:space="preserve"> and for it to conclude by mid-September. </w:t>
      </w:r>
    </w:p>
    <w:p w14:paraId="30DFB785" w14:textId="439A37DA" w:rsidR="00DB02EF" w:rsidRDefault="00DB02EF" w:rsidP="00DB02EF">
      <w:pPr>
        <w:pStyle w:val="Heading4"/>
      </w:pPr>
      <w:r>
        <w:t>Contract Management Requirements</w:t>
      </w:r>
    </w:p>
    <w:p w14:paraId="3F87CBC1" w14:textId="77777777" w:rsidR="00020528" w:rsidRPr="005C5969" w:rsidRDefault="00020528" w:rsidP="00020528">
      <w:r w:rsidRPr="6F1089D0">
        <w:rPr>
          <w:rFonts w:eastAsia="Arial" w:cs="Arial"/>
          <w:szCs w:val="24"/>
        </w:rPr>
        <w:t xml:space="preserve">The supplier should prepare a project plan and present it with the proposal. The supplier should keep the plan up to date after contract award. We expect to be provided </w:t>
      </w:r>
      <w:r>
        <w:rPr>
          <w:rFonts w:eastAsia="Arial" w:cs="Arial"/>
          <w:szCs w:val="24"/>
        </w:rPr>
        <w:t xml:space="preserve">with short </w:t>
      </w:r>
      <w:r w:rsidRPr="6F1089D0">
        <w:rPr>
          <w:rFonts w:eastAsia="Arial" w:cs="Arial"/>
          <w:szCs w:val="24"/>
        </w:rPr>
        <w:lastRenderedPageBreak/>
        <w:t>weekly progress updates against the outputs being produced to keep the ORR project team informed on progress and developments.</w:t>
      </w:r>
    </w:p>
    <w:p w14:paraId="57A08AB8" w14:textId="77777777" w:rsidR="00020528" w:rsidRPr="009B5A7A" w:rsidRDefault="00020528" w:rsidP="00020528">
      <w:pPr>
        <w:spacing w:before="240"/>
        <w:rPr>
          <w:rFonts w:eastAsia="Arial" w:cs="Arial"/>
          <w:color w:val="0E101A"/>
          <w:szCs w:val="20"/>
          <w:lang w:eastAsia="en-GB"/>
        </w:rPr>
      </w:pPr>
      <w:r w:rsidRPr="009B5A7A">
        <w:rPr>
          <w:rFonts w:eastAsia="Arial" w:cs="Arial"/>
          <w:color w:val="0E101A"/>
          <w:szCs w:val="20"/>
          <w:lang w:eastAsia="en-GB"/>
        </w:rPr>
        <w:t xml:space="preserve">The audit consultants’ </w:t>
      </w:r>
      <w:r>
        <w:rPr>
          <w:rFonts w:eastAsia="Arial" w:cs="Arial"/>
          <w:color w:val="0E101A"/>
          <w:szCs w:val="20"/>
          <w:lang w:eastAsia="en-GB"/>
        </w:rPr>
        <w:t>key</w:t>
      </w:r>
      <w:r w:rsidRPr="009B5A7A">
        <w:rPr>
          <w:rFonts w:eastAsia="Arial" w:cs="Arial"/>
          <w:color w:val="0E101A"/>
          <w:szCs w:val="20"/>
          <w:lang w:eastAsia="en-GB"/>
        </w:rPr>
        <w:t xml:space="preserve"> point of contact will be the assigned ORR project manager.</w:t>
      </w:r>
    </w:p>
    <w:p w14:paraId="75F8969E" w14:textId="18013AB0" w:rsidR="00D6160E" w:rsidRDefault="00AF7AF9" w:rsidP="00AF7AF9">
      <w:pPr>
        <w:pStyle w:val="Heading3"/>
      </w:pPr>
      <w:bookmarkStart w:id="13" w:name="_Toc200007563"/>
      <w:r>
        <w:t>2.4 Project Timescales</w:t>
      </w:r>
      <w:bookmarkEnd w:id="13"/>
    </w:p>
    <w:p w14:paraId="7B04C255" w14:textId="77777777" w:rsidR="00EB6F11" w:rsidRPr="005C5969" w:rsidRDefault="00EB6F11" w:rsidP="00EB6F11">
      <w:r w:rsidRPr="005C5969">
        <w:t>The provisional project timetable is as follows:</w:t>
      </w:r>
    </w:p>
    <w:p w14:paraId="00A03BF5" w14:textId="77777777" w:rsidR="00EB6F11" w:rsidRPr="003B1DD8" w:rsidRDefault="00EB6F11" w:rsidP="00EB6F11">
      <w:pPr>
        <w:pStyle w:val="NormalBulletround"/>
      </w:pPr>
      <w:r w:rsidRPr="005C5969">
        <w:t xml:space="preserve">Start-up meeting and commencement week </w:t>
      </w:r>
      <w:r w:rsidRPr="003B1DD8">
        <w:t xml:space="preserve">commencing </w:t>
      </w:r>
      <w:r>
        <w:t>7 JULY 2025</w:t>
      </w:r>
      <w:r w:rsidRPr="003B1DD8">
        <w:t>.</w:t>
      </w:r>
    </w:p>
    <w:p w14:paraId="1E28C9E6" w14:textId="77777777" w:rsidR="00EB6F11" w:rsidRDefault="00EB6F11" w:rsidP="00EB6F11">
      <w:pPr>
        <w:pStyle w:val="NormalBulletround"/>
      </w:pPr>
      <w:r w:rsidRPr="005C5969">
        <w:t>Weekly updates on progress and any issues.</w:t>
      </w:r>
    </w:p>
    <w:p w14:paraId="1DD63042" w14:textId="77777777" w:rsidR="00EB6F11" w:rsidRPr="005C5969" w:rsidRDefault="00EB6F11" w:rsidP="00EB6F11">
      <w:pPr>
        <w:pStyle w:val="NormalBulletround"/>
      </w:pPr>
      <w:r>
        <w:t>P</w:t>
      </w:r>
      <w:r w:rsidRPr="00013BDD">
        <w:t>resentation of a longlist of candidate markets</w:t>
      </w:r>
      <w:r>
        <w:t xml:space="preserve"> by Friday 1 AUGUST 2025 </w:t>
      </w:r>
      <w:r w:rsidRPr="00013BDD">
        <w:t>(or as agreed)</w:t>
      </w:r>
      <w:r>
        <w:t>.</w:t>
      </w:r>
    </w:p>
    <w:p w14:paraId="3D061FB1" w14:textId="77777777" w:rsidR="00EB6F11" w:rsidRPr="003A5CAA" w:rsidRDefault="00EB6F11" w:rsidP="00EB6F11">
      <w:pPr>
        <w:pStyle w:val="NormalBulletround"/>
      </w:pPr>
      <w:r>
        <w:t>Provision of draft report</w:t>
      </w:r>
      <w:r w:rsidRPr="005C5969">
        <w:t xml:space="preserve"> week</w:t>
      </w:r>
      <w:r>
        <w:t xml:space="preserve"> by FRIDAY 5 SEPTEMBER 2025 </w:t>
      </w:r>
      <w:r w:rsidRPr="00013BDD">
        <w:t>(or as agreed)</w:t>
      </w:r>
      <w:r>
        <w:t>.</w:t>
      </w:r>
    </w:p>
    <w:p w14:paraId="2EFAA4FA" w14:textId="77777777" w:rsidR="00EB6F11" w:rsidRDefault="00EB6F11" w:rsidP="00EB6F11">
      <w:pPr>
        <w:pStyle w:val="NormalBulletround"/>
      </w:pPr>
      <w:r w:rsidRPr="003A5CAA">
        <w:t xml:space="preserve">Final report </w:t>
      </w:r>
      <w:r>
        <w:t xml:space="preserve">and presentation </w:t>
      </w:r>
      <w:r w:rsidRPr="003A5CAA">
        <w:t xml:space="preserve">by </w:t>
      </w:r>
      <w:r>
        <w:t>Friday 12 SEPTEMBER 2025</w:t>
      </w:r>
      <w:r w:rsidRPr="003A5CAA">
        <w:t>.</w:t>
      </w:r>
    </w:p>
    <w:p w14:paraId="76E3EE61" w14:textId="420F91D1" w:rsidR="00AF7AF9" w:rsidRDefault="00AF7AF9" w:rsidP="00AF7AF9">
      <w:pPr>
        <w:pStyle w:val="Heading3"/>
      </w:pPr>
      <w:bookmarkStart w:id="14" w:name="_Toc200007564"/>
      <w:r w:rsidRPr="00AF7AF9">
        <w:t>2.5 Budget and Payment Schedule</w:t>
      </w:r>
      <w:bookmarkEnd w:id="14"/>
    </w:p>
    <w:p w14:paraId="1F7D32A1" w14:textId="77777777" w:rsidR="00EB6F11" w:rsidRDefault="00EB6F11" w:rsidP="00EB6F11">
      <w:r>
        <w:t xml:space="preserve">The maximum budget for this piece of work is £30,000 (inc. of expenses, exc. of VAT). </w:t>
      </w:r>
    </w:p>
    <w:p w14:paraId="210C1040" w14:textId="77777777" w:rsidR="00EB6F11" w:rsidRDefault="00EB6F11" w:rsidP="00EB6F11">
      <w:r w:rsidRPr="00942FF5">
        <w:t xml:space="preserve">Payment for will be on the completion of the </w:t>
      </w:r>
      <w:r>
        <w:t xml:space="preserve">final report and presentation </w:t>
      </w:r>
      <w:r w:rsidRPr="00B971BF">
        <w:t>and acceptance by ORR of all required outputs.</w:t>
      </w:r>
    </w:p>
    <w:p w14:paraId="3BB5AE4A" w14:textId="4C2DE6EF" w:rsidR="00AF7AF9" w:rsidRDefault="00AF7AF9" w:rsidP="00AF7AF9">
      <w:pPr>
        <w:pStyle w:val="Heading3"/>
      </w:pPr>
      <w:bookmarkStart w:id="15" w:name="_Toc200007565"/>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200007566"/>
      <w:r>
        <w:lastRenderedPageBreak/>
        <w:t>Tender Response and Evaluation Criteria</w:t>
      </w:r>
      <w:bookmarkEnd w:id="16"/>
    </w:p>
    <w:p w14:paraId="6C9F4B20" w14:textId="5CFF035D" w:rsidR="001768F1" w:rsidRDefault="001768F1" w:rsidP="001768F1">
      <w:pPr>
        <w:pStyle w:val="Heading3"/>
      </w:pPr>
      <w:bookmarkStart w:id="17" w:name="_Toc200007567"/>
      <w:r>
        <w:t>3.1 The Tender Response</w:t>
      </w:r>
      <w:bookmarkEnd w:id="17"/>
    </w:p>
    <w:p w14:paraId="33A2C61B" w14:textId="06077671" w:rsidR="001768F1" w:rsidRDefault="001768F1" w:rsidP="001768F1">
      <w:r>
        <w:t>The proposals for this project should include an outline of how bidders will meet the requirement outlined in section (ii) “Statement of Requirement”. The following information should be included</w:t>
      </w:r>
      <w:r w:rsidR="00EB6F11">
        <w:t>:</w:t>
      </w:r>
    </w:p>
    <w:p w14:paraId="5849D537" w14:textId="77777777" w:rsidR="00EB6F11" w:rsidRPr="00C52FCE" w:rsidRDefault="00EB6F11" w:rsidP="00EB6F11">
      <w:pPr>
        <w:pStyle w:val="NormalBulletalpha"/>
        <w:numPr>
          <w:ilvl w:val="1"/>
          <w:numId w:val="28"/>
        </w:numPr>
        <w:rPr>
          <w:b/>
          <w:bCs/>
        </w:rPr>
      </w:pPr>
      <w:r w:rsidRPr="00C52FCE">
        <w:rPr>
          <w:b/>
          <w:bCs/>
        </w:rPr>
        <w:t>Understanding and approach to customer's requirements</w:t>
      </w:r>
    </w:p>
    <w:p w14:paraId="238571A1" w14:textId="77777777" w:rsidR="00EB6F11" w:rsidRDefault="00EB6F11" w:rsidP="00EB6F11">
      <w:pPr>
        <w:pStyle w:val="NormalBullet-"/>
      </w:pPr>
      <w:r>
        <w:t xml:space="preserve">Demonstrate an understanding of the requirement and overall aims of the </w:t>
      </w:r>
      <w:proofErr w:type="gramStart"/>
      <w:r>
        <w:t>study;</w:t>
      </w:r>
      <w:proofErr w:type="gramEnd"/>
      <w:r>
        <w:t xml:space="preserve"> </w:t>
      </w:r>
    </w:p>
    <w:p w14:paraId="5164EE60" w14:textId="77777777" w:rsidR="00EB6F11" w:rsidRDefault="00EB6F11" w:rsidP="00EB6F11">
      <w:pPr>
        <w:pStyle w:val="NormalBullet-"/>
      </w:pPr>
      <w:r>
        <w:t xml:space="preserve">Provide an explanation of the proposed approach and any methodologies you will </w:t>
      </w:r>
      <w:proofErr w:type="gramStart"/>
      <w:r>
        <w:t>use;</w:t>
      </w:r>
      <w:proofErr w:type="gramEnd"/>
    </w:p>
    <w:p w14:paraId="2819BE41" w14:textId="77777777" w:rsidR="00EB6F11" w:rsidRDefault="00EB6F11" w:rsidP="00EB6F11">
      <w:pPr>
        <w:pStyle w:val="NormalBullet-"/>
      </w:pPr>
      <w:r>
        <w:t xml:space="preserve">Details of your assumptions and/or constraints/dependencies made in relation to the </w:t>
      </w:r>
      <w:proofErr w:type="gramStart"/>
      <w:r>
        <w:t>study;</w:t>
      </w:r>
      <w:proofErr w:type="gramEnd"/>
      <w:r>
        <w:t xml:space="preserve"> </w:t>
      </w:r>
    </w:p>
    <w:p w14:paraId="7EA4943C" w14:textId="77777777" w:rsidR="00EB6F11" w:rsidRDefault="00EB6F11" w:rsidP="00EB6F11">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0AD7ACB9" w14:textId="77777777" w:rsidR="00EB6F11" w:rsidRDefault="00EB6F11" w:rsidP="00EB6F11">
      <w:pPr>
        <w:pStyle w:val="NormalBullet-"/>
      </w:pPr>
      <w:r>
        <w:t>What support bidders will require from ORR.</w:t>
      </w:r>
    </w:p>
    <w:p w14:paraId="0F09F07B" w14:textId="77777777" w:rsidR="00EB6F11" w:rsidRPr="001E7C87" w:rsidRDefault="00EB6F11" w:rsidP="00EB6F11">
      <w:pPr>
        <w:pStyle w:val="NormalBulletalpha"/>
        <w:rPr>
          <w:b/>
          <w:bCs/>
        </w:rPr>
      </w:pPr>
      <w:r w:rsidRPr="001E7C87">
        <w:rPr>
          <w:b/>
          <w:bCs/>
        </w:rPr>
        <w:t>Proposed delivery team</w:t>
      </w:r>
    </w:p>
    <w:p w14:paraId="0B5B45CD" w14:textId="77777777" w:rsidR="00EB6F11" w:rsidRDefault="00EB6F11" w:rsidP="00EB6F11">
      <w:pPr>
        <w:pStyle w:val="NormalBullet-"/>
      </w:pPr>
      <w:r>
        <w:t>Key personnel including details of how their key skills, experience and qualifications align to the delivery of the project.</w:t>
      </w:r>
    </w:p>
    <w:p w14:paraId="479175E8" w14:textId="77777777" w:rsidR="00EB6F11" w:rsidRDefault="00EB6F11" w:rsidP="00EB6F11">
      <w:pPr>
        <w:pStyle w:val="NormalBullet-"/>
      </w:pPr>
      <w:r>
        <w:t>Confirmation that you have carried out the necessary employment checks (e.g. right to work in the UK).</w:t>
      </w:r>
    </w:p>
    <w:p w14:paraId="3265141B" w14:textId="77777777" w:rsidR="00EB6F11" w:rsidRDefault="00EB6F11" w:rsidP="00EB6F11">
      <w:pPr>
        <w:pStyle w:val="NormalBullet-"/>
      </w:pPr>
      <w:r>
        <w:t>Some relevant examples of previous work that bidders have carried out.</w:t>
      </w:r>
    </w:p>
    <w:p w14:paraId="6AC12CF1" w14:textId="77777777" w:rsidR="00EB6F11" w:rsidRPr="001E7C87" w:rsidRDefault="00EB6F11" w:rsidP="00EB6F11">
      <w:pPr>
        <w:pStyle w:val="NormalBulletalpha"/>
        <w:rPr>
          <w:b/>
          <w:bCs/>
        </w:rPr>
      </w:pPr>
      <w:r w:rsidRPr="001E7C87">
        <w:rPr>
          <w:b/>
          <w:bCs/>
        </w:rPr>
        <w:t>Pricing</w:t>
      </w:r>
    </w:p>
    <w:p w14:paraId="0FE6114A" w14:textId="77777777" w:rsidR="00EB6F11" w:rsidRDefault="00EB6F11" w:rsidP="00EB6F11">
      <w:pPr>
        <w:pStyle w:val="NormalBullet-"/>
      </w:pPr>
      <w:r>
        <w:t xml:space="preserve">A fixed fee for the project inclusive of all expense. </w:t>
      </w:r>
    </w:p>
    <w:p w14:paraId="08320167" w14:textId="77777777" w:rsidR="00EB6F11" w:rsidRPr="007062A6" w:rsidRDefault="00EB6F11" w:rsidP="00EB6F11">
      <w:pPr>
        <w:pStyle w:val="NormalBulletalpha"/>
        <w:rPr>
          <w:b/>
          <w:bCs/>
        </w:rPr>
      </w:pPr>
      <w:r w:rsidRPr="007062A6">
        <w:rPr>
          <w:b/>
          <w:bCs/>
        </w:rPr>
        <w:t>Conflicts of Interest</w:t>
      </w:r>
    </w:p>
    <w:p w14:paraId="016C84C5" w14:textId="77777777" w:rsidR="00EB6F11" w:rsidRPr="001768F1" w:rsidRDefault="00EB6F11" w:rsidP="00EB6F11">
      <w:pPr>
        <w:pStyle w:val="NormalBullet-"/>
      </w:pPr>
      <w:r>
        <w:lastRenderedPageBreak/>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200007568"/>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57781EF3" w14:textId="77777777" w:rsidR="00EB6F11" w:rsidRDefault="00EB6F11" w:rsidP="00EB6F11">
      <w:pPr>
        <w:pStyle w:val="Heading4"/>
      </w:pPr>
      <w:r>
        <w:t>Methodology</w:t>
      </w:r>
      <w:r w:rsidRPr="005C65FF">
        <w:t xml:space="preserve"> (20%)</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48C44467" w14:textId="77777777" w:rsidR="00EB6F11" w:rsidRPr="005C65FF" w:rsidRDefault="00EB6F11" w:rsidP="00EB6F11">
      <w:pPr>
        <w:pStyle w:val="Heading4"/>
      </w:pPr>
      <w:r w:rsidRPr="005C65FF">
        <w:lastRenderedPageBreak/>
        <w:t>Delivery (30%)</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11C5EED9" w14:textId="77777777" w:rsidR="00EB6F11" w:rsidRPr="00374BAE" w:rsidRDefault="00EB6F11" w:rsidP="00EB6F11">
      <w:pPr>
        <w:pStyle w:val="Heading4"/>
        <w:rPr>
          <w:color w:val="B1173B"/>
        </w:rPr>
      </w:pPr>
      <w:r>
        <w:t xml:space="preserve">Experience </w:t>
      </w:r>
      <w:r w:rsidRPr="005C65FF">
        <w:t>(30%)</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4F1C247E" w14:textId="77777777" w:rsidR="00EB6F11" w:rsidRDefault="00EB6F11" w:rsidP="00EB6F11">
      <w:pPr>
        <w:pStyle w:val="Heading4"/>
      </w:pPr>
      <w:r>
        <w:t xml:space="preserve">Cost / Value for </w:t>
      </w:r>
      <w:r w:rsidRPr="00142654">
        <w:t>money (20%)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lastRenderedPageBreak/>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200007569"/>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200007570"/>
      <w:r>
        <w:t>Tendering Timetable</w:t>
      </w:r>
      <w:bookmarkEnd w:id="20"/>
    </w:p>
    <w:p w14:paraId="7B1462DF" w14:textId="77777777" w:rsidR="00EB6F11" w:rsidRDefault="00EB6F11" w:rsidP="00EB6F11">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EB6F11" w:rsidRPr="00400432" w14:paraId="6494B294" w14:textId="77777777" w:rsidTr="00511F2A">
        <w:trPr>
          <w:tblHeader/>
        </w:trPr>
        <w:tc>
          <w:tcPr>
            <w:tcW w:w="5569" w:type="dxa"/>
            <w:tcBorders>
              <w:bottom w:val="single" w:sz="12" w:space="0" w:color="FFFFFF" w:themeColor="background2"/>
            </w:tcBorders>
            <w:shd w:val="clear" w:color="auto" w:fill="253268" w:themeFill="text2"/>
          </w:tcPr>
          <w:p w14:paraId="5821FB2C" w14:textId="77777777" w:rsidR="00EB6F11" w:rsidRPr="00400432" w:rsidRDefault="00EB6F11" w:rsidP="00511F2A">
            <w:pPr>
              <w:pStyle w:val="TblHeading"/>
            </w:pPr>
            <w:r w:rsidRPr="00400432">
              <w:t>Element</w:t>
            </w:r>
          </w:p>
        </w:tc>
        <w:tc>
          <w:tcPr>
            <w:tcW w:w="4069" w:type="dxa"/>
            <w:tcBorders>
              <w:bottom w:val="single" w:sz="12" w:space="0" w:color="FFFFFF" w:themeColor="background2"/>
            </w:tcBorders>
            <w:shd w:val="clear" w:color="auto" w:fill="253268" w:themeFill="text2"/>
          </w:tcPr>
          <w:p w14:paraId="2AADB20F" w14:textId="77777777" w:rsidR="00EB6F11" w:rsidRPr="00400432" w:rsidRDefault="00EB6F11" w:rsidP="00511F2A">
            <w:pPr>
              <w:pStyle w:val="TblHeading"/>
            </w:pPr>
            <w:r w:rsidRPr="00400432">
              <w:t>Timescale</w:t>
            </w:r>
          </w:p>
        </w:tc>
      </w:tr>
      <w:tr w:rsidR="00EB6F11" w:rsidRPr="00400432" w14:paraId="142AFED5" w14:textId="77777777" w:rsidTr="00511F2A">
        <w:tc>
          <w:tcPr>
            <w:tcW w:w="5569" w:type="dxa"/>
            <w:tcBorders>
              <w:bottom w:val="single" w:sz="12" w:space="0" w:color="FFFFFF" w:themeColor="background2"/>
            </w:tcBorders>
            <w:shd w:val="clear" w:color="auto" w:fill="FFFFFF" w:themeFill="background2"/>
          </w:tcPr>
          <w:p w14:paraId="3793BC65" w14:textId="77777777" w:rsidR="00EB6F11" w:rsidRPr="00400432" w:rsidRDefault="00EB6F11" w:rsidP="00511F2A">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39AF465C" w14:textId="77777777" w:rsidR="00EB6F11" w:rsidRPr="00400432" w:rsidRDefault="00EB6F11" w:rsidP="00511F2A">
            <w:pPr>
              <w:pStyle w:val="TblText"/>
            </w:pPr>
            <w:r>
              <w:t>05 June 2025</w:t>
            </w:r>
          </w:p>
        </w:tc>
      </w:tr>
      <w:tr w:rsidR="00EB6F11" w:rsidRPr="00400432" w14:paraId="1364D808" w14:textId="77777777" w:rsidTr="00511F2A">
        <w:tc>
          <w:tcPr>
            <w:tcW w:w="5569" w:type="dxa"/>
            <w:tcBorders>
              <w:bottom w:val="single" w:sz="12" w:space="0" w:color="FFFFFF" w:themeColor="background2"/>
            </w:tcBorders>
            <w:shd w:val="clear" w:color="auto" w:fill="E4E7F5"/>
          </w:tcPr>
          <w:p w14:paraId="507EE8D3" w14:textId="77777777" w:rsidR="00EB6F11" w:rsidRPr="00400432" w:rsidRDefault="00EB6F11" w:rsidP="00511F2A">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2FB6D061" w14:textId="77777777" w:rsidR="00EB6F11" w:rsidRPr="00400432" w:rsidRDefault="00EB6F11" w:rsidP="00511F2A">
            <w:pPr>
              <w:pStyle w:val="TblText"/>
            </w:pPr>
            <w:r>
              <w:t xml:space="preserve">Midday 16 June 2025 </w:t>
            </w:r>
          </w:p>
        </w:tc>
      </w:tr>
      <w:tr w:rsidR="00EB6F11" w:rsidRPr="00400432" w14:paraId="37EC81CB" w14:textId="77777777" w:rsidTr="00511F2A">
        <w:tc>
          <w:tcPr>
            <w:tcW w:w="5569" w:type="dxa"/>
            <w:tcBorders>
              <w:bottom w:val="single" w:sz="12" w:space="0" w:color="FFFFFF" w:themeColor="background2"/>
            </w:tcBorders>
            <w:shd w:val="clear" w:color="auto" w:fill="FFFFFF" w:themeFill="background2"/>
          </w:tcPr>
          <w:p w14:paraId="1EC066A0" w14:textId="77777777" w:rsidR="00EB6F11" w:rsidRPr="00400432" w:rsidRDefault="00EB6F11" w:rsidP="00511F2A">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562DD90C" w14:textId="77777777" w:rsidR="00EB6F11" w:rsidRPr="00400432" w:rsidRDefault="00EB6F11" w:rsidP="00511F2A">
            <w:pPr>
              <w:pStyle w:val="TblText"/>
            </w:pPr>
            <w:r>
              <w:t>Midday 20 June 2025</w:t>
            </w:r>
          </w:p>
        </w:tc>
      </w:tr>
      <w:tr w:rsidR="00EB6F11" w:rsidRPr="00400432" w14:paraId="3F500D71" w14:textId="77777777" w:rsidTr="00511F2A">
        <w:tc>
          <w:tcPr>
            <w:tcW w:w="5569" w:type="dxa"/>
            <w:tcBorders>
              <w:bottom w:val="single" w:sz="12" w:space="0" w:color="FFFFFF" w:themeColor="background2"/>
            </w:tcBorders>
            <w:shd w:val="clear" w:color="auto" w:fill="E4E7F5"/>
          </w:tcPr>
          <w:p w14:paraId="073C19D3" w14:textId="77777777" w:rsidR="00EB6F11" w:rsidRPr="00400432" w:rsidRDefault="00EB6F11" w:rsidP="00511F2A">
            <w:pPr>
              <w:pStyle w:val="TblText"/>
            </w:pPr>
            <w:r w:rsidRPr="00400432">
              <w:t>Award contract</w:t>
            </w:r>
          </w:p>
        </w:tc>
        <w:tc>
          <w:tcPr>
            <w:tcW w:w="4069" w:type="dxa"/>
            <w:tcBorders>
              <w:bottom w:val="single" w:sz="12" w:space="0" w:color="FFFFFF" w:themeColor="background2"/>
            </w:tcBorders>
            <w:shd w:val="clear" w:color="auto" w:fill="E4E7F5"/>
          </w:tcPr>
          <w:p w14:paraId="27B7554C" w14:textId="77777777" w:rsidR="00EB6F11" w:rsidRPr="00400432" w:rsidRDefault="00EB6F11" w:rsidP="00511F2A">
            <w:pPr>
              <w:pStyle w:val="TblText"/>
            </w:pPr>
            <w:r>
              <w:t>w/c 30 June 2025</w:t>
            </w:r>
          </w:p>
        </w:tc>
      </w:tr>
      <w:tr w:rsidR="00EB6F11" w:rsidRPr="00400432" w14:paraId="3AA58DF8" w14:textId="77777777" w:rsidTr="00511F2A">
        <w:tc>
          <w:tcPr>
            <w:tcW w:w="5569" w:type="dxa"/>
            <w:shd w:val="clear" w:color="auto" w:fill="FFFFFF" w:themeFill="background2"/>
          </w:tcPr>
          <w:p w14:paraId="7D2070CE" w14:textId="77777777" w:rsidR="00EB6F11" w:rsidRPr="00400432" w:rsidRDefault="00EB6F11" w:rsidP="00511F2A">
            <w:pPr>
              <w:pStyle w:val="TblText"/>
            </w:pPr>
            <w:r w:rsidRPr="00400432">
              <w:t>Project Inception Meeting</w:t>
            </w:r>
          </w:p>
        </w:tc>
        <w:tc>
          <w:tcPr>
            <w:tcW w:w="4069" w:type="dxa"/>
            <w:shd w:val="clear" w:color="auto" w:fill="FFFFFF" w:themeFill="background2"/>
          </w:tcPr>
          <w:p w14:paraId="609476FC" w14:textId="77777777" w:rsidR="00EB6F11" w:rsidRPr="00400432" w:rsidRDefault="00EB6F11" w:rsidP="00511F2A">
            <w:pPr>
              <w:pStyle w:val="TblText"/>
            </w:pPr>
            <w:r>
              <w:t>w/c 07 July 2025</w:t>
            </w:r>
          </w:p>
        </w:tc>
      </w:tr>
    </w:tbl>
    <w:p w14:paraId="3DFADB3D" w14:textId="77777777" w:rsidR="00433557" w:rsidRDefault="00433557" w:rsidP="000A0438">
      <w:pPr>
        <w:pStyle w:val="Heading3"/>
      </w:pPr>
      <w:bookmarkStart w:id="21" w:name="_Toc200007571"/>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2" w:name="_Hlk187308838"/>
      <w:r>
        <w:t>Submission Process</w:t>
      </w:r>
    </w:p>
    <w:bookmarkEnd w:id="22"/>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0CD492F2">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08D" w14:textId="77777777" w:rsidR="00142694" w:rsidRDefault="00142694" w:rsidP="00555585">
      <w:pPr>
        <w:spacing w:after="0" w:line="240" w:lineRule="auto"/>
      </w:pPr>
      <w:r>
        <w:separator/>
      </w:r>
    </w:p>
  </w:endnote>
  <w:endnote w:type="continuationSeparator" w:id="0">
    <w:p w14:paraId="241BACE5" w14:textId="77777777" w:rsidR="00142694" w:rsidRDefault="00142694" w:rsidP="00555585">
      <w:pPr>
        <w:spacing w:after="0" w:line="240" w:lineRule="auto"/>
      </w:pPr>
      <w:r>
        <w:continuationSeparator/>
      </w:r>
    </w:p>
  </w:endnote>
  <w:endnote w:type="continuationNotice" w:id="1">
    <w:p w14:paraId="16AD7691"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9B0" w14:textId="77777777" w:rsidR="00142694" w:rsidRDefault="00142694" w:rsidP="00555585">
      <w:pPr>
        <w:spacing w:after="0" w:line="240" w:lineRule="auto"/>
      </w:pPr>
      <w:r>
        <w:separator/>
      </w:r>
    </w:p>
  </w:footnote>
  <w:footnote w:type="continuationSeparator" w:id="0">
    <w:p w14:paraId="07804AF8" w14:textId="77777777" w:rsidR="00142694" w:rsidRDefault="00142694" w:rsidP="00555585">
      <w:pPr>
        <w:spacing w:after="0" w:line="240" w:lineRule="auto"/>
      </w:pPr>
      <w:r>
        <w:continuationSeparator/>
      </w:r>
    </w:p>
  </w:footnote>
  <w:footnote w:type="continuationNotice" w:id="1">
    <w:p w14:paraId="33CEB130"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8BD5682"/>
    <w:multiLevelType w:val="multilevel"/>
    <w:tmpl w:val="EAD453D0"/>
    <w:numStyleLink w:val="NumbListHighlight"/>
  </w:abstractNum>
  <w:abstractNum w:abstractNumId="18"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774C62AB"/>
    <w:multiLevelType w:val="multilevel"/>
    <w:tmpl w:val="6B204466"/>
    <w:numStyleLink w:val="ORRAnnex"/>
  </w:abstractNum>
  <w:abstractNum w:abstractNumId="21" w15:restartNumberingAfterBreak="0">
    <w:nsid w:val="7DDA5CB4"/>
    <w:multiLevelType w:val="multilevel"/>
    <w:tmpl w:val="6B204466"/>
    <w:numStyleLink w:val="ORRAnnex"/>
  </w:abstractNum>
  <w:num w:numId="1" w16cid:durableId="1643778289">
    <w:abstractNumId w:val="15"/>
  </w:num>
  <w:num w:numId="2" w16cid:durableId="123300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19"/>
  </w:num>
  <w:num w:numId="4" w16cid:durableId="615990203">
    <w:abstractNumId w:val="6"/>
  </w:num>
  <w:num w:numId="5" w16cid:durableId="1539008159">
    <w:abstractNumId w:val="14"/>
  </w:num>
  <w:num w:numId="6" w16cid:durableId="1334801291">
    <w:abstractNumId w:val="7"/>
  </w:num>
  <w:num w:numId="7" w16cid:durableId="116142554">
    <w:abstractNumId w:val="10"/>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17"/>
  </w:num>
  <w:num w:numId="13" w16cid:durableId="435447028">
    <w:abstractNumId w:val="16"/>
  </w:num>
  <w:num w:numId="14" w16cid:durableId="2048019962">
    <w:abstractNumId w:val="20"/>
  </w:num>
  <w:num w:numId="15" w16cid:durableId="2025738407">
    <w:abstractNumId w:val="17"/>
  </w:num>
  <w:num w:numId="16" w16cid:durableId="150879135">
    <w:abstractNumId w:val="17"/>
  </w:num>
  <w:num w:numId="17" w16cid:durableId="891042484">
    <w:abstractNumId w:val="17"/>
  </w:num>
  <w:num w:numId="18" w16cid:durableId="727414043">
    <w:abstractNumId w:val="16"/>
  </w:num>
  <w:num w:numId="19" w16cid:durableId="1027833524">
    <w:abstractNumId w:val="1"/>
  </w:num>
  <w:num w:numId="20" w16cid:durableId="50661355">
    <w:abstractNumId w:val="5"/>
  </w:num>
  <w:num w:numId="21" w16cid:durableId="1446195555">
    <w:abstractNumId w:val="3"/>
  </w:num>
  <w:num w:numId="22" w16cid:durableId="558327301">
    <w:abstractNumId w:val="21"/>
  </w:num>
  <w:num w:numId="23" w16cid:durableId="463500638">
    <w:abstractNumId w:val="12"/>
  </w:num>
  <w:num w:numId="24" w16cid:durableId="1527019102">
    <w:abstractNumId w:val="2"/>
  </w:num>
  <w:num w:numId="25"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9"/>
  </w:num>
  <w:num w:numId="27" w16cid:durableId="1830293373">
    <w:abstractNumId w:val="18"/>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0528"/>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04"/>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372C"/>
    <w:rsid w:val="00224950"/>
    <w:rsid w:val="00225D2C"/>
    <w:rsid w:val="00225EFD"/>
    <w:rsid w:val="00240410"/>
    <w:rsid w:val="002459ED"/>
    <w:rsid w:val="0025242F"/>
    <w:rsid w:val="00257BE5"/>
    <w:rsid w:val="00272200"/>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2B8"/>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66A9"/>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1999"/>
    <w:rsid w:val="0066567C"/>
    <w:rsid w:val="006701F0"/>
    <w:rsid w:val="00673F42"/>
    <w:rsid w:val="00680F51"/>
    <w:rsid w:val="00683A4B"/>
    <w:rsid w:val="00683F80"/>
    <w:rsid w:val="00691342"/>
    <w:rsid w:val="00696275"/>
    <w:rsid w:val="006A063F"/>
    <w:rsid w:val="006A6751"/>
    <w:rsid w:val="006B10E9"/>
    <w:rsid w:val="006B198C"/>
    <w:rsid w:val="006B27E0"/>
    <w:rsid w:val="006B69A6"/>
    <w:rsid w:val="006C004C"/>
    <w:rsid w:val="006C02BD"/>
    <w:rsid w:val="006C15DB"/>
    <w:rsid w:val="006C39C5"/>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5897"/>
    <w:rsid w:val="00806042"/>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B708C"/>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B7230"/>
    <w:rsid w:val="00AC3F17"/>
    <w:rsid w:val="00AC608C"/>
    <w:rsid w:val="00AE1221"/>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34A0"/>
    <w:rsid w:val="00B34AB1"/>
    <w:rsid w:val="00B34DB3"/>
    <w:rsid w:val="00B40FF4"/>
    <w:rsid w:val="00B50669"/>
    <w:rsid w:val="00B509AD"/>
    <w:rsid w:val="00B5283A"/>
    <w:rsid w:val="00B546CE"/>
    <w:rsid w:val="00B56A4E"/>
    <w:rsid w:val="00B56E30"/>
    <w:rsid w:val="00B5762E"/>
    <w:rsid w:val="00B7284B"/>
    <w:rsid w:val="00B73C52"/>
    <w:rsid w:val="00B80C9B"/>
    <w:rsid w:val="00B81AB7"/>
    <w:rsid w:val="00B8365D"/>
    <w:rsid w:val="00B8713D"/>
    <w:rsid w:val="00B906DF"/>
    <w:rsid w:val="00B91F92"/>
    <w:rsid w:val="00B922B8"/>
    <w:rsid w:val="00B946A3"/>
    <w:rsid w:val="00BA010D"/>
    <w:rsid w:val="00BA3E54"/>
    <w:rsid w:val="00BA75AF"/>
    <w:rsid w:val="00BB3195"/>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7018"/>
    <w:rsid w:val="00C42B54"/>
    <w:rsid w:val="00C43F22"/>
    <w:rsid w:val="00C4471E"/>
    <w:rsid w:val="00C44B4E"/>
    <w:rsid w:val="00C47EF8"/>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327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28B"/>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6F11"/>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6E40"/>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452429"/>
    <w:rsid w:val="49F518E0"/>
    <w:rsid w:val="4CC7374A"/>
    <w:rsid w:val="4E03BA8E"/>
    <w:rsid w:val="567EF6F8"/>
    <w:rsid w:val="585483FF"/>
    <w:rsid w:val="6E0CA6E2"/>
    <w:rsid w:val="6F209C80"/>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22372C"/>
    <w:rsid w:val="00282136"/>
    <w:rsid w:val="003D684E"/>
    <w:rsid w:val="00465309"/>
    <w:rsid w:val="005722FE"/>
    <w:rsid w:val="005A6A23"/>
    <w:rsid w:val="005F52F5"/>
    <w:rsid w:val="00696275"/>
    <w:rsid w:val="007479A0"/>
    <w:rsid w:val="007C3F77"/>
    <w:rsid w:val="008342A5"/>
    <w:rsid w:val="00843948"/>
    <w:rsid w:val="0084777F"/>
    <w:rsid w:val="00912431"/>
    <w:rsid w:val="00974DB7"/>
    <w:rsid w:val="009E0644"/>
    <w:rsid w:val="00A235F4"/>
    <w:rsid w:val="00A257DF"/>
    <w:rsid w:val="00A72823"/>
    <w:rsid w:val="00BB3195"/>
    <w:rsid w:val="00BF5479"/>
    <w:rsid w:val="00C016C2"/>
    <w:rsid w:val="00C37018"/>
    <w:rsid w:val="00D750C2"/>
    <w:rsid w:val="00DD58E4"/>
    <w:rsid w:val="00DE0FCF"/>
    <w:rsid w:val="00DF628B"/>
    <w:rsid w:val="00E27807"/>
    <w:rsid w:val="00E63CEB"/>
    <w:rsid w:val="00E81AAE"/>
    <w:rsid w:val="00E94B75"/>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8369F098-06E9-45AD-BA8E-B54AD9FD2F94}">
  <ds:schemaRefs>
    <ds:schemaRef ds:uri="24d6d8e0-7f01-4a4d-a00c-b7e1c8b583a3"/>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71dc83a-4d2b-4074-96cb-94c54810c83c"/>
    <ds:schemaRef ds:uri="http://purl.org/dc/dcmitype/"/>
  </ds:schemaRefs>
</ds:datastoreItem>
</file>

<file path=customXml/itemProps6.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21</Pages>
  <Words>4673</Words>
  <Characters>24441</Characters>
  <Application>Microsoft Office Word</Application>
  <DocSecurity>0</DocSecurity>
  <Lines>1880</Lines>
  <Paragraphs>1265</Paragraphs>
  <ScaleCrop>false</ScaleCrop>
  <Company>HP</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Horizon scanning study of rail markets</dc:subject>
  <dc:creator>Angeriz-Santos, Paula</dc:creator>
  <cp:keywords/>
  <dc:description/>
  <cp:lastModifiedBy>Dinkele, Harriet</cp:lastModifiedBy>
  <cp:revision>3</cp:revision>
  <cp:lastPrinted>2021-02-24T15:29:00Z</cp:lastPrinted>
  <dcterms:created xsi:type="dcterms:W3CDTF">2025-06-05T08:06:00Z</dcterms:created>
  <dcterms:modified xsi:type="dcterms:W3CDTF">2025-06-05T08:19:00Z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