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0A50" w14:textId="0F47B24C" w:rsidR="0076375A" w:rsidRPr="0091039F" w:rsidRDefault="00133B0E" w:rsidP="0091039F">
      <w:pPr>
        <w:ind w:left="0"/>
        <w:rPr>
          <w:b/>
          <w:sz w:val="28"/>
          <w:szCs w:val="28"/>
        </w:rPr>
      </w:pPr>
      <w:r>
        <w:rPr>
          <w:b/>
          <w:sz w:val="28"/>
          <w:szCs w:val="28"/>
        </w:rPr>
        <w:t xml:space="preserve">1. </w:t>
      </w:r>
      <w:r w:rsidR="00E142EB">
        <w:rPr>
          <w:b/>
          <w:sz w:val="28"/>
          <w:szCs w:val="28"/>
        </w:rPr>
        <w:t>Architectural Planning and Design, Quantity Surveying and Planning Application Services</w:t>
      </w:r>
      <w:r w:rsidR="0076375A" w:rsidRPr="0076375A">
        <w:rPr>
          <w:b/>
          <w:sz w:val="28"/>
          <w:szCs w:val="28"/>
        </w:rPr>
        <w:t xml:space="preserve">. </w:t>
      </w:r>
    </w:p>
    <w:tbl>
      <w:tblPr>
        <w:tblStyle w:val="TableGrid"/>
        <w:tblW w:w="14794" w:type="dxa"/>
        <w:tblInd w:w="227" w:type="dxa"/>
        <w:tblLayout w:type="fixed"/>
        <w:tblLook w:val="04A0" w:firstRow="1" w:lastRow="0" w:firstColumn="1" w:lastColumn="0" w:noHBand="0" w:noVBand="1"/>
      </w:tblPr>
      <w:tblGrid>
        <w:gridCol w:w="1157"/>
        <w:gridCol w:w="1418"/>
        <w:gridCol w:w="2976"/>
        <w:gridCol w:w="1305"/>
        <w:gridCol w:w="5245"/>
        <w:gridCol w:w="1417"/>
        <w:gridCol w:w="1276"/>
      </w:tblGrid>
      <w:tr w:rsidR="00247F0E" w14:paraId="03F4A0FC" w14:textId="77777777" w:rsidTr="0091039F">
        <w:tc>
          <w:tcPr>
            <w:tcW w:w="1157" w:type="dxa"/>
            <w:tcBorders>
              <w:bottom w:val="single" w:sz="4" w:space="0" w:color="auto"/>
            </w:tcBorders>
            <w:shd w:val="pct12" w:color="auto" w:fill="auto"/>
          </w:tcPr>
          <w:p w14:paraId="70DC9034" w14:textId="77777777" w:rsidR="00247F0E" w:rsidRPr="00EA19CE" w:rsidRDefault="00247F0E" w:rsidP="006E599C">
            <w:pPr>
              <w:ind w:left="0"/>
              <w:jc w:val="center"/>
              <w:rPr>
                <w:b/>
                <w:sz w:val="20"/>
                <w:szCs w:val="20"/>
              </w:rPr>
            </w:pPr>
            <w:r w:rsidRPr="00EA19CE">
              <w:rPr>
                <w:b/>
                <w:sz w:val="20"/>
                <w:szCs w:val="20"/>
              </w:rPr>
              <w:t>MAT</w:t>
            </w:r>
            <w:r w:rsidR="006E599C" w:rsidRPr="00EA19CE">
              <w:rPr>
                <w:b/>
                <w:sz w:val="20"/>
                <w:szCs w:val="20"/>
              </w:rPr>
              <w:t xml:space="preserve"> *</w:t>
            </w:r>
          </w:p>
        </w:tc>
        <w:tc>
          <w:tcPr>
            <w:tcW w:w="1418" w:type="dxa"/>
            <w:tcBorders>
              <w:bottom w:val="single" w:sz="4" w:space="0" w:color="auto"/>
            </w:tcBorders>
            <w:shd w:val="pct12" w:color="auto" w:fill="auto"/>
          </w:tcPr>
          <w:p w14:paraId="5894FF5E" w14:textId="77777777" w:rsidR="00247F0E" w:rsidRPr="00EA19CE" w:rsidRDefault="00247F0E" w:rsidP="002C0FF8">
            <w:pPr>
              <w:ind w:left="0"/>
              <w:jc w:val="center"/>
              <w:rPr>
                <w:b/>
                <w:sz w:val="20"/>
                <w:szCs w:val="20"/>
              </w:rPr>
            </w:pPr>
            <w:r w:rsidRPr="00EA19CE">
              <w:rPr>
                <w:b/>
                <w:sz w:val="20"/>
                <w:szCs w:val="20"/>
              </w:rPr>
              <w:t>Overall Weighting</w:t>
            </w:r>
          </w:p>
        </w:tc>
        <w:tc>
          <w:tcPr>
            <w:tcW w:w="2976" w:type="dxa"/>
            <w:tcBorders>
              <w:bottom w:val="single" w:sz="4" w:space="0" w:color="auto"/>
            </w:tcBorders>
            <w:shd w:val="pct12" w:color="auto" w:fill="auto"/>
          </w:tcPr>
          <w:p w14:paraId="6715A950" w14:textId="77777777" w:rsidR="00247F0E" w:rsidRPr="00EA19CE" w:rsidRDefault="00247F0E" w:rsidP="002C0FF8">
            <w:pPr>
              <w:ind w:left="0"/>
              <w:jc w:val="center"/>
              <w:rPr>
                <w:b/>
                <w:sz w:val="20"/>
                <w:szCs w:val="20"/>
              </w:rPr>
            </w:pPr>
            <w:r w:rsidRPr="00EA19CE">
              <w:rPr>
                <w:b/>
                <w:sz w:val="20"/>
                <w:szCs w:val="20"/>
              </w:rPr>
              <w:t>Category</w:t>
            </w:r>
          </w:p>
        </w:tc>
        <w:tc>
          <w:tcPr>
            <w:tcW w:w="1305" w:type="dxa"/>
            <w:tcBorders>
              <w:bottom w:val="single" w:sz="4" w:space="0" w:color="auto"/>
            </w:tcBorders>
            <w:shd w:val="pct12" w:color="auto" w:fill="auto"/>
          </w:tcPr>
          <w:p w14:paraId="450D5F0B" w14:textId="13805B8A" w:rsidR="00247F0E" w:rsidRPr="00EA19CE" w:rsidRDefault="00247F0E" w:rsidP="002C0FF8">
            <w:pPr>
              <w:ind w:left="0"/>
              <w:jc w:val="center"/>
              <w:rPr>
                <w:b/>
                <w:sz w:val="20"/>
                <w:szCs w:val="20"/>
              </w:rPr>
            </w:pPr>
            <w:r w:rsidRPr="00EA19CE">
              <w:rPr>
                <w:b/>
                <w:sz w:val="20"/>
                <w:szCs w:val="20"/>
              </w:rPr>
              <w:t>Category Weighting</w:t>
            </w:r>
            <w:r w:rsidR="00F601E0" w:rsidRPr="00EA19CE">
              <w:rPr>
                <w:b/>
                <w:sz w:val="20"/>
                <w:szCs w:val="20"/>
              </w:rPr>
              <w:t xml:space="preserve"> </w:t>
            </w:r>
          </w:p>
          <w:p w14:paraId="5AD09C3A" w14:textId="7EC556B4" w:rsidR="00F601E0" w:rsidRPr="00EA19CE" w:rsidRDefault="00F601E0" w:rsidP="002C0FF8">
            <w:pPr>
              <w:ind w:left="0"/>
              <w:jc w:val="center"/>
              <w:rPr>
                <w:b/>
                <w:sz w:val="20"/>
                <w:szCs w:val="20"/>
              </w:rPr>
            </w:pPr>
            <w:r w:rsidRPr="00EA19CE">
              <w:rPr>
                <w:b/>
                <w:sz w:val="20"/>
                <w:szCs w:val="20"/>
              </w:rPr>
              <w:t>Percentage</w:t>
            </w:r>
          </w:p>
          <w:p w14:paraId="2D0401F0" w14:textId="77777777" w:rsidR="006C2F94" w:rsidRPr="00EA19CE" w:rsidRDefault="006C2F94" w:rsidP="002C0FF8">
            <w:pPr>
              <w:ind w:left="0"/>
              <w:jc w:val="center"/>
              <w:rPr>
                <w:b/>
                <w:sz w:val="20"/>
                <w:szCs w:val="20"/>
              </w:rPr>
            </w:pPr>
          </w:p>
        </w:tc>
        <w:tc>
          <w:tcPr>
            <w:tcW w:w="5245" w:type="dxa"/>
            <w:tcBorders>
              <w:bottom w:val="single" w:sz="4" w:space="0" w:color="auto"/>
            </w:tcBorders>
            <w:shd w:val="pct12" w:color="auto" w:fill="auto"/>
          </w:tcPr>
          <w:p w14:paraId="0DCB1EF8" w14:textId="77777777" w:rsidR="00247F0E" w:rsidRPr="00EA19CE" w:rsidRDefault="00E97FF0" w:rsidP="002C0FF8">
            <w:pPr>
              <w:ind w:left="0"/>
              <w:jc w:val="center"/>
              <w:rPr>
                <w:b/>
                <w:sz w:val="20"/>
                <w:szCs w:val="20"/>
              </w:rPr>
            </w:pPr>
            <w:r w:rsidRPr="00EA19CE">
              <w:rPr>
                <w:b/>
                <w:sz w:val="20"/>
                <w:szCs w:val="20"/>
              </w:rPr>
              <w:t xml:space="preserve">Quality </w:t>
            </w:r>
            <w:r w:rsidR="00247F0E" w:rsidRPr="00EA19CE">
              <w:rPr>
                <w:b/>
                <w:sz w:val="20"/>
                <w:szCs w:val="20"/>
              </w:rPr>
              <w:t>Element</w:t>
            </w:r>
          </w:p>
        </w:tc>
        <w:tc>
          <w:tcPr>
            <w:tcW w:w="1417" w:type="dxa"/>
            <w:tcBorders>
              <w:bottom w:val="single" w:sz="4" w:space="0" w:color="auto"/>
            </w:tcBorders>
            <w:shd w:val="pct12" w:color="auto" w:fill="auto"/>
          </w:tcPr>
          <w:p w14:paraId="446FCE36" w14:textId="09EFF75B" w:rsidR="00247F0E" w:rsidRPr="00EA19CE" w:rsidRDefault="006C2F94" w:rsidP="00FD27DD">
            <w:pPr>
              <w:ind w:left="0"/>
              <w:jc w:val="center"/>
              <w:rPr>
                <w:b/>
                <w:sz w:val="20"/>
                <w:szCs w:val="20"/>
              </w:rPr>
            </w:pPr>
            <w:r w:rsidRPr="00EA19CE">
              <w:rPr>
                <w:b/>
                <w:sz w:val="20"/>
                <w:szCs w:val="20"/>
              </w:rPr>
              <w:t>Individual</w:t>
            </w:r>
            <w:r w:rsidR="00FD27DD" w:rsidRPr="00EA19CE">
              <w:rPr>
                <w:b/>
                <w:sz w:val="20"/>
                <w:szCs w:val="20"/>
              </w:rPr>
              <w:t xml:space="preserve"> Element</w:t>
            </w:r>
            <w:r w:rsidR="00247F0E" w:rsidRPr="00EA19CE">
              <w:rPr>
                <w:b/>
                <w:sz w:val="20"/>
                <w:szCs w:val="20"/>
              </w:rPr>
              <w:t xml:space="preserve"> Weighting </w:t>
            </w:r>
            <w:r w:rsidR="00F601E0" w:rsidRPr="00EA19CE">
              <w:rPr>
                <w:b/>
                <w:sz w:val="20"/>
                <w:szCs w:val="20"/>
              </w:rPr>
              <w:t>in points</w:t>
            </w:r>
          </w:p>
        </w:tc>
        <w:tc>
          <w:tcPr>
            <w:tcW w:w="1276" w:type="dxa"/>
            <w:tcBorders>
              <w:bottom w:val="single" w:sz="4" w:space="0" w:color="auto"/>
            </w:tcBorders>
            <w:shd w:val="pct12" w:color="auto" w:fill="auto"/>
          </w:tcPr>
          <w:p w14:paraId="1046B75A" w14:textId="7DF74E36" w:rsidR="00247F0E" w:rsidRPr="00EA19CE" w:rsidRDefault="00247F0E" w:rsidP="002C0FF8">
            <w:pPr>
              <w:ind w:left="0"/>
              <w:jc w:val="center"/>
              <w:rPr>
                <w:b/>
                <w:sz w:val="20"/>
                <w:szCs w:val="20"/>
              </w:rPr>
            </w:pPr>
            <w:r w:rsidRPr="00EA19CE">
              <w:rPr>
                <w:b/>
                <w:sz w:val="20"/>
                <w:szCs w:val="20"/>
              </w:rPr>
              <w:t xml:space="preserve">Total Weighting </w:t>
            </w:r>
            <w:r w:rsidR="00F601E0" w:rsidRPr="00EA19CE">
              <w:rPr>
                <w:b/>
                <w:sz w:val="20"/>
                <w:szCs w:val="20"/>
              </w:rPr>
              <w:t xml:space="preserve"> in points</w:t>
            </w:r>
          </w:p>
        </w:tc>
      </w:tr>
      <w:tr w:rsidR="00FA5E5B" w14:paraId="63FB1FBE" w14:textId="77777777" w:rsidTr="0091039F">
        <w:trPr>
          <w:trHeight w:val="353"/>
        </w:trPr>
        <w:tc>
          <w:tcPr>
            <w:tcW w:w="1157" w:type="dxa"/>
            <w:shd w:val="pct10" w:color="auto" w:fill="auto"/>
          </w:tcPr>
          <w:p w14:paraId="5AD09A3E" w14:textId="77777777" w:rsidR="00FA5E5B" w:rsidRPr="00683DC3" w:rsidRDefault="00FA5E5B" w:rsidP="00FA5E5B">
            <w:pPr>
              <w:ind w:left="0"/>
              <w:rPr>
                <w:b/>
                <w:highlight w:val="yellow"/>
              </w:rPr>
            </w:pPr>
            <w:r w:rsidRPr="00683DC3">
              <w:rPr>
                <w:b/>
                <w:highlight w:val="yellow"/>
              </w:rPr>
              <w:t>Cost</w:t>
            </w:r>
          </w:p>
        </w:tc>
        <w:tc>
          <w:tcPr>
            <w:tcW w:w="1418" w:type="dxa"/>
            <w:shd w:val="pct5" w:color="auto" w:fill="auto"/>
          </w:tcPr>
          <w:p w14:paraId="0FBA2D4B" w14:textId="77777777" w:rsidR="00FA5E5B" w:rsidRPr="00683DC3" w:rsidRDefault="006C2F94" w:rsidP="00FA5E5B">
            <w:pPr>
              <w:ind w:left="0"/>
              <w:jc w:val="center"/>
              <w:rPr>
                <w:b/>
                <w:highlight w:val="yellow"/>
              </w:rPr>
            </w:pPr>
            <w:r w:rsidRPr="00683DC3">
              <w:rPr>
                <w:b/>
                <w:highlight w:val="yellow"/>
              </w:rPr>
              <w:t>4</w:t>
            </w:r>
            <w:r w:rsidR="00FA5E5B" w:rsidRPr="00683DC3">
              <w:rPr>
                <w:b/>
                <w:highlight w:val="yellow"/>
              </w:rPr>
              <w:t>0%</w:t>
            </w:r>
          </w:p>
        </w:tc>
        <w:tc>
          <w:tcPr>
            <w:tcW w:w="2976" w:type="dxa"/>
            <w:shd w:val="pct5" w:color="auto" w:fill="auto"/>
          </w:tcPr>
          <w:p w14:paraId="746857E1" w14:textId="77777777" w:rsidR="00FA5E5B" w:rsidRPr="00C00D1D" w:rsidRDefault="00FA5E5B" w:rsidP="00FA5E5B">
            <w:pPr>
              <w:ind w:left="0"/>
            </w:pPr>
            <w:r w:rsidRPr="00C00D1D">
              <w:rPr>
                <w:rFonts w:cs="Times New Roman"/>
              </w:rPr>
              <w:t>Value for money</w:t>
            </w:r>
          </w:p>
        </w:tc>
        <w:tc>
          <w:tcPr>
            <w:tcW w:w="1305" w:type="dxa"/>
            <w:shd w:val="pct5" w:color="auto" w:fill="auto"/>
          </w:tcPr>
          <w:p w14:paraId="6200576F" w14:textId="087E4A63" w:rsidR="00FA5E5B" w:rsidRPr="00F601E0" w:rsidRDefault="0060459E" w:rsidP="00FA5E5B">
            <w:pPr>
              <w:ind w:left="0"/>
              <w:jc w:val="center"/>
              <w:rPr>
                <w:b/>
                <w:bCs/>
              </w:rPr>
            </w:pPr>
            <w:r w:rsidRPr="00F601E0">
              <w:rPr>
                <w:b/>
                <w:bCs/>
              </w:rPr>
              <w:t>4</w:t>
            </w:r>
            <w:r w:rsidR="00FA5E5B" w:rsidRPr="00F601E0">
              <w:rPr>
                <w:b/>
                <w:bCs/>
              </w:rPr>
              <w:t>0%</w:t>
            </w:r>
          </w:p>
        </w:tc>
        <w:tc>
          <w:tcPr>
            <w:tcW w:w="5245" w:type="dxa"/>
            <w:shd w:val="pct5" w:color="auto" w:fill="auto"/>
          </w:tcPr>
          <w:p w14:paraId="4227318A" w14:textId="77777777" w:rsidR="00FA5E5B" w:rsidRPr="00C00D1D" w:rsidRDefault="00FA5E5B" w:rsidP="00FA5E5B">
            <w:pPr>
              <w:ind w:left="0"/>
            </w:pPr>
            <w:r w:rsidRPr="00C00D1D">
              <w:rPr>
                <w:rFonts w:cs="Times New Roman"/>
              </w:rPr>
              <w:t>Value for money</w:t>
            </w:r>
          </w:p>
        </w:tc>
        <w:tc>
          <w:tcPr>
            <w:tcW w:w="1417" w:type="dxa"/>
            <w:shd w:val="pct5" w:color="auto" w:fill="auto"/>
          </w:tcPr>
          <w:p w14:paraId="74A44A67" w14:textId="06189728" w:rsidR="00FA5E5B" w:rsidRPr="00C00D1D" w:rsidRDefault="00F601E0" w:rsidP="00FA5E5B">
            <w:pPr>
              <w:ind w:left="0"/>
              <w:jc w:val="center"/>
            </w:pPr>
            <w:r>
              <w:t>40</w:t>
            </w:r>
          </w:p>
        </w:tc>
        <w:tc>
          <w:tcPr>
            <w:tcW w:w="1276" w:type="dxa"/>
            <w:shd w:val="pct5" w:color="auto" w:fill="auto"/>
          </w:tcPr>
          <w:p w14:paraId="5DC7585D" w14:textId="0A2BE3E6" w:rsidR="00FA5E5B" w:rsidRPr="00C00D1D" w:rsidRDefault="00FA5E5B" w:rsidP="00395E2D">
            <w:pPr>
              <w:ind w:left="0"/>
              <w:jc w:val="center"/>
            </w:pPr>
          </w:p>
          <w:p w14:paraId="4395C6DF" w14:textId="77777777" w:rsidR="00395E2D" w:rsidRPr="00C00D1D" w:rsidRDefault="00395E2D" w:rsidP="00395E2D">
            <w:pPr>
              <w:ind w:left="0"/>
              <w:jc w:val="center"/>
            </w:pPr>
          </w:p>
        </w:tc>
      </w:tr>
      <w:tr w:rsidR="00F601E0" w14:paraId="2C1F0DB0" w14:textId="77777777" w:rsidTr="0091039F">
        <w:trPr>
          <w:trHeight w:val="353"/>
        </w:trPr>
        <w:tc>
          <w:tcPr>
            <w:tcW w:w="1157" w:type="dxa"/>
            <w:shd w:val="pct10" w:color="auto" w:fill="auto"/>
          </w:tcPr>
          <w:p w14:paraId="3ACD4819" w14:textId="77777777" w:rsidR="00F601E0" w:rsidRPr="00683DC3" w:rsidRDefault="00F601E0" w:rsidP="00FA5E5B">
            <w:pPr>
              <w:ind w:left="0"/>
              <w:rPr>
                <w:b/>
                <w:highlight w:val="yellow"/>
              </w:rPr>
            </w:pPr>
          </w:p>
        </w:tc>
        <w:tc>
          <w:tcPr>
            <w:tcW w:w="1418" w:type="dxa"/>
            <w:shd w:val="pct5" w:color="auto" w:fill="auto"/>
          </w:tcPr>
          <w:p w14:paraId="7053B860" w14:textId="77777777" w:rsidR="00F601E0" w:rsidRPr="00683DC3" w:rsidRDefault="00F601E0" w:rsidP="00FA5E5B">
            <w:pPr>
              <w:ind w:left="0"/>
              <w:jc w:val="center"/>
              <w:rPr>
                <w:b/>
                <w:highlight w:val="yellow"/>
              </w:rPr>
            </w:pPr>
          </w:p>
        </w:tc>
        <w:tc>
          <w:tcPr>
            <w:tcW w:w="2976" w:type="dxa"/>
            <w:shd w:val="pct5" w:color="auto" w:fill="auto"/>
          </w:tcPr>
          <w:p w14:paraId="56D53E26" w14:textId="77777777" w:rsidR="00F601E0" w:rsidRPr="00C00D1D" w:rsidRDefault="00F601E0" w:rsidP="00FA5E5B">
            <w:pPr>
              <w:ind w:left="0"/>
              <w:rPr>
                <w:rFonts w:cs="Times New Roman"/>
              </w:rPr>
            </w:pPr>
          </w:p>
        </w:tc>
        <w:tc>
          <w:tcPr>
            <w:tcW w:w="1305" w:type="dxa"/>
            <w:shd w:val="pct5" w:color="auto" w:fill="auto"/>
          </w:tcPr>
          <w:p w14:paraId="4DBE1AA2" w14:textId="77777777" w:rsidR="00F601E0" w:rsidRPr="00F601E0" w:rsidRDefault="00F601E0" w:rsidP="00FA5E5B">
            <w:pPr>
              <w:ind w:left="0"/>
              <w:jc w:val="center"/>
              <w:rPr>
                <w:b/>
                <w:bCs/>
              </w:rPr>
            </w:pPr>
          </w:p>
        </w:tc>
        <w:tc>
          <w:tcPr>
            <w:tcW w:w="5245" w:type="dxa"/>
            <w:shd w:val="pct5" w:color="auto" w:fill="auto"/>
          </w:tcPr>
          <w:p w14:paraId="1110A919" w14:textId="5CA9DE21" w:rsidR="00F601E0" w:rsidRPr="00C00D1D" w:rsidRDefault="00F601E0" w:rsidP="00FA5E5B">
            <w:pPr>
              <w:ind w:left="0"/>
              <w:rPr>
                <w:rFonts w:cs="Times New Roman"/>
              </w:rPr>
            </w:pPr>
            <w:r>
              <w:rPr>
                <w:rFonts w:cs="Times New Roman"/>
              </w:rPr>
              <w:t xml:space="preserve">TOTAL POINTS PRICE </w:t>
            </w:r>
          </w:p>
        </w:tc>
        <w:tc>
          <w:tcPr>
            <w:tcW w:w="1417" w:type="dxa"/>
            <w:shd w:val="pct5" w:color="auto" w:fill="auto"/>
          </w:tcPr>
          <w:p w14:paraId="4733DB4E" w14:textId="77777777" w:rsidR="00F601E0" w:rsidRDefault="00F601E0" w:rsidP="00FA5E5B">
            <w:pPr>
              <w:ind w:left="0"/>
              <w:jc w:val="center"/>
            </w:pPr>
          </w:p>
        </w:tc>
        <w:tc>
          <w:tcPr>
            <w:tcW w:w="1276" w:type="dxa"/>
            <w:shd w:val="pct5" w:color="auto" w:fill="auto"/>
          </w:tcPr>
          <w:p w14:paraId="2B711428" w14:textId="3A5FCCEF" w:rsidR="00F601E0" w:rsidRDefault="00F601E0" w:rsidP="00395E2D">
            <w:pPr>
              <w:ind w:left="0"/>
              <w:jc w:val="center"/>
            </w:pPr>
            <w:r>
              <w:t>40</w:t>
            </w:r>
          </w:p>
        </w:tc>
      </w:tr>
      <w:tr w:rsidR="00926B42" w14:paraId="4E313C18" w14:textId="77777777" w:rsidTr="0091039F">
        <w:trPr>
          <w:trHeight w:val="245"/>
        </w:trPr>
        <w:tc>
          <w:tcPr>
            <w:tcW w:w="1157" w:type="dxa"/>
            <w:vMerge w:val="restart"/>
            <w:shd w:val="pct10" w:color="auto" w:fill="auto"/>
          </w:tcPr>
          <w:p w14:paraId="33FDA7D9" w14:textId="7C3C0607" w:rsidR="00926B42" w:rsidRPr="00683DC3" w:rsidRDefault="00926B42" w:rsidP="002C0FF8">
            <w:pPr>
              <w:ind w:left="0"/>
              <w:rPr>
                <w:b/>
                <w:highlight w:val="yellow"/>
              </w:rPr>
            </w:pPr>
            <w:r w:rsidRPr="00683DC3">
              <w:rPr>
                <w:b/>
                <w:highlight w:val="yellow"/>
              </w:rPr>
              <w:t>Quality</w:t>
            </w:r>
            <w:r w:rsidR="00EA19CE">
              <w:rPr>
                <w:b/>
                <w:highlight w:val="yellow"/>
              </w:rPr>
              <w:t>**</w:t>
            </w:r>
          </w:p>
          <w:p w14:paraId="251CF1EC" w14:textId="77777777" w:rsidR="00926B42" w:rsidRPr="00683DC3" w:rsidRDefault="00926B42" w:rsidP="002C0FF8">
            <w:pPr>
              <w:ind w:left="0"/>
              <w:rPr>
                <w:b/>
                <w:highlight w:val="yellow"/>
              </w:rPr>
            </w:pPr>
          </w:p>
        </w:tc>
        <w:tc>
          <w:tcPr>
            <w:tcW w:w="1418" w:type="dxa"/>
            <w:vMerge w:val="restart"/>
          </w:tcPr>
          <w:p w14:paraId="6279A627" w14:textId="77777777" w:rsidR="00926B42" w:rsidRPr="00683DC3" w:rsidRDefault="00926B42" w:rsidP="002C0FF8">
            <w:pPr>
              <w:ind w:left="0"/>
              <w:jc w:val="center"/>
              <w:rPr>
                <w:b/>
                <w:highlight w:val="yellow"/>
              </w:rPr>
            </w:pPr>
            <w:r w:rsidRPr="00683DC3">
              <w:rPr>
                <w:b/>
                <w:highlight w:val="yellow"/>
              </w:rPr>
              <w:t>60%</w:t>
            </w:r>
          </w:p>
        </w:tc>
        <w:tc>
          <w:tcPr>
            <w:tcW w:w="2976" w:type="dxa"/>
            <w:vMerge w:val="restart"/>
          </w:tcPr>
          <w:p w14:paraId="6FE80194" w14:textId="1B083E83" w:rsidR="00926B42" w:rsidRPr="00C00D1D" w:rsidRDefault="00926B42" w:rsidP="00BD23C4">
            <w:pPr>
              <w:ind w:left="0"/>
            </w:pPr>
            <w:r w:rsidRPr="00BD23C4">
              <w:rPr>
                <w:rFonts w:cs="Times New Roman"/>
                <w:b/>
              </w:rPr>
              <w:t>Locality</w:t>
            </w:r>
            <w:r w:rsidRPr="00C00D1D">
              <w:rPr>
                <w:rFonts w:cs="Times New Roman"/>
              </w:rPr>
              <w:t>;</w:t>
            </w:r>
            <w:r w:rsidRPr="00C00D1D">
              <w:t xml:space="preserve"> distance</w:t>
            </w:r>
            <w:r w:rsidR="00E142EB">
              <w:t xml:space="preserve"> of contracting company from</w:t>
            </w:r>
            <w:r w:rsidRPr="00C00D1D">
              <w:t xml:space="preserve"> </w:t>
            </w:r>
            <w:r w:rsidR="00E142EB">
              <w:t>site</w:t>
            </w:r>
          </w:p>
        </w:tc>
        <w:tc>
          <w:tcPr>
            <w:tcW w:w="1305" w:type="dxa"/>
            <w:vMerge w:val="restart"/>
          </w:tcPr>
          <w:p w14:paraId="32917BAF" w14:textId="714B92AA" w:rsidR="00926B42" w:rsidRPr="00133B0E" w:rsidRDefault="00653D04" w:rsidP="0050679A">
            <w:pPr>
              <w:ind w:left="0"/>
              <w:jc w:val="center"/>
              <w:rPr>
                <w:b/>
              </w:rPr>
            </w:pPr>
            <w:r>
              <w:rPr>
                <w:b/>
              </w:rPr>
              <w:t>8</w:t>
            </w:r>
            <w:r w:rsidR="00926B42" w:rsidRPr="00133B0E">
              <w:rPr>
                <w:b/>
              </w:rPr>
              <w:t>%</w:t>
            </w:r>
          </w:p>
        </w:tc>
        <w:tc>
          <w:tcPr>
            <w:tcW w:w="5245" w:type="dxa"/>
          </w:tcPr>
          <w:p w14:paraId="1242B83A" w14:textId="53FEE4D3" w:rsidR="00926B42" w:rsidRPr="00C00D1D" w:rsidRDefault="00926B42" w:rsidP="0050679A">
            <w:pPr>
              <w:ind w:left="0"/>
            </w:pPr>
            <w:r w:rsidRPr="00C00D1D">
              <w:t xml:space="preserve">Within </w:t>
            </w:r>
            <w:r>
              <w:t>Newport Pagnell</w:t>
            </w:r>
            <w:r w:rsidR="00653D04">
              <w:t xml:space="preserve"> or</w:t>
            </w:r>
          </w:p>
        </w:tc>
        <w:tc>
          <w:tcPr>
            <w:tcW w:w="1417" w:type="dxa"/>
          </w:tcPr>
          <w:p w14:paraId="24A23FC5" w14:textId="4A3492DD" w:rsidR="00926B42" w:rsidRPr="00C00D1D" w:rsidRDefault="00653D04" w:rsidP="0050679A">
            <w:pPr>
              <w:ind w:left="0"/>
              <w:jc w:val="center"/>
            </w:pPr>
            <w:r>
              <w:t>8</w:t>
            </w:r>
            <w:r w:rsidR="004803E1">
              <w:t xml:space="preserve"> or</w:t>
            </w:r>
          </w:p>
        </w:tc>
        <w:tc>
          <w:tcPr>
            <w:tcW w:w="1276" w:type="dxa"/>
          </w:tcPr>
          <w:p w14:paraId="7F7532F7" w14:textId="7317E497" w:rsidR="00926B42" w:rsidRPr="00C00D1D" w:rsidRDefault="00926B42" w:rsidP="0050679A">
            <w:pPr>
              <w:ind w:left="0"/>
              <w:jc w:val="center"/>
            </w:pPr>
          </w:p>
        </w:tc>
      </w:tr>
      <w:tr w:rsidR="008D07B6" w14:paraId="4C599055" w14:textId="77777777" w:rsidTr="0091039F">
        <w:trPr>
          <w:trHeight w:val="244"/>
        </w:trPr>
        <w:tc>
          <w:tcPr>
            <w:tcW w:w="1157" w:type="dxa"/>
            <w:vMerge/>
            <w:shd w:val="pct10" w:color="auto" w:fill="auto"/>
          </w:tcPr>
          <w:p w14:paraId="5F9209EB" w14:textId="77777777" w:rsidR="008D07B6" w:rsidRPr="00C00D1D" w:rsidRDefault="008D07B6" w:rsidP="002C0FF8">
            <w:pPr>
              <w:ind w:left="0"/>
            </w:pPr>
          </w:p>
        </w:tc>
        <w:tc>
          <w:tcPr>
            <w:tcW w:w="1418" w:type="dxa"/>
            <w:vMerge/>
          </w:tcPr>
          <w:p w14:paraId="0093687F" w14:textId="77777777" w:rsidR="008D07B6" w:rsidRPr="00C00D1D" w:rsidRDefault="008D07B6" w:rsidP="002C0FF8">
            <w:pPr>
              <w:ind w:left="0"/>
              <w:jc w:val="center"/>
            </w:pPr>
          </w:p>
        </w:tc>
        <w:tc>
          <w:tcPr>
            <w:tcW w:w="2976" w:type="dxa"/>
            <w:vMerge/>
          </w:tcPr>
          <w:p w14:paraId="321C87BC" w14:textId="77777777" w:rsidR="008D07B6" w:rsidRPr="00C00D1D" w:rsidRDefault="008D07B6" w:rsidP="002C0FF8">
            <w:pPr>
              <w:ind w:left="0"/>
            </w:pPr>
          </w:p>
        </w:tc>
        <w:tc>
          <w:tcPr>
            <w:tcW w:w="1305" w:type="dxa"/>
            <w:vMerge/>
          </w:tcPr>
          <w:p w14:paraId="0B900899" w14:textId="77777777" w:rsidR="008D07B6" w:rsidRPr="00133B0E" w:rsidRDefault="008D07B6" w:rsidP="002C0FF8">
            <w:pPr>
              <w:ind w:left="0"/>
              <w:jc w:val="center"/>
              <w:rPr>
                <w:b/>
              </w:rPr>
            </w:pPr>
          </w:p>
        </w:tc>
        <w:tc>
          <w:tcPr>
            <w:tcW w:w="5245" w:type="dxa"/>
          </w:tcPr>
          <w:p w14:paraId="2FA697A2" w14:textId="0AE65232" w:rsidR="008D07B6" w:rsidRPr="00C00D1D" w:rsidRDefault="008D07B6" w:rsidP="00395E2D">
            <w:pPr>
              <w:ind w:left="0"/>
            </w:pPr>
            <w:r>
              <w:t>Within Milton Keynes and within 10 miles of the site in Newport Pagnell</w:t>
            </w:r>
          </w:p>
        </w:tc>
        <w:tc>
          <w:tcPr>
            <w:tcW w:w="1417" w:type="dxa"/>
          </w:tcPr>
          <w:p w14:paraId="2513ECF8" w14:textId="6B710C3C" w:rsidR="008D07B6" w:rsidRDefault="008D07B6" w:rsidP="002C0FF8">
            <w:pPr>
              <w:ind w:left="0"/>
              <w:jc w:val="center"/>
            </w:pPr>
            <w:r>
              <w:t>7 or</w:t>
            </w:r>
          </w:p>
        </w:tc>
        <w:tc>
          <w:tcPr>
            <w:tcW w:w="1276" w:type="dxa"/>
          </w:tcPr>
          <w:p w14:paraId="0876B064" w14:textId="77777777" w:rsidR="008D07B6" w:rsidRPr="00C00D1D" w:rsidRDefault="008D07B6" w:rsidP="0060459E">
            <w:pPr>
              <w:ind w:left="0"/>
            </w:pPr>
          </w:p>
        </w:tc>
      </w:tr>
      <w:tr w:rsidR="00132D21" w14:paraId="70BE1F7E" w14:textId="77777777" w:rsidTr="0091039F">
        <w:trPr>
          <w:trHeight w:val="244"/>
        </w:trPr>
        <w:tc>
          <w:tcPr>
            <w:tcW w:w="1157" w:type="dxa"/>
            <w:vMerge/>
            <w:shd w:val="pct10" w:color="auto" w:fill="auto"/>
          </w:tcPr>
          <w:p w14:paraId="07CA6F6A" w14:textId="77777777" w:rsidR="00132D21" w:rsidRPr="00C00D1D" w:rsidRDefault="00132D21" w:rsidP="002C0FF8">
            <w:pPr>
              <w:ind w:left="0"/>
            </w:pPr>
          </w:p>
        </w:tc>
        <w:tc>
          <w:tcPr>
            <w:tcW w:w="1418" w:type="dxa"/>
            <w:vMerge/>
          </w:tcPr>
          <w:p w14:paraId="7C20ECE0" w14:textId="77777777" w:rsidR="00132D21" w:rsidRPr="00C00D1D" w:rsidRDefault="00132D21" w:rsidP="002C0FF8">
            <w:pPr>
              <w:ind w:left="0"/>
              <w:jc w:val="center"/>
            </w:pPr>
          </w:p>
        </w:tc>
        <w:tc>
          <w:tcPr>
            <w:tcW w:w="2976" w:type="dxa"/>
            <w:vMerge/>
          </w:tcPr>
          <w:p w14:paraId="162C567F" w14:textId="77777777" w:rsidR="00132D21" w:rsidRPr="00C00D1D" w:rsidRDefault="00132D21" w:rsidP="002C0FF8">
            <w:pPr>
              <w:ind w:left="0"/>
            </w:pPr>
          </w:p>
        </w:tc>
        <w:tc>
          <w:tcPr>
            <w:tcW w:w="1305" w:type="dxa"/>
            <w:vMerge/>
          </w:tcPr>
          <w:p w14:paraId="3DFF0933" w14:textId="77777777" w:rsidR="00132D21" w:rsidRPr="00133B0E" w:rsidRDefault="00132D21" w:rsidP="002C0FF8">
            <w:pPr>
              <w:ind w:left="0"/>
              <w:jc w:val="center"/>
              <w:rPr>
                <w:b/>
              </w:rPr>
            </w:pPr>
          </w:p>
        </w:tc>
        <w:tc>
          <w:tcPr>
            <w:tcW w:w="5245" w:type="dxa"/>
          </w:tcPr>
          <w:p w14:paraId="7C10B2CE" w14:textId="5ABE9AE8" w:rsidR="00132D21" w:rsidRPr="00C00D1D" w:rsidRDefault="00132D21" w:rsidP="00395E2D">
            <w:pPr>
              <w:ind w:left="0"/>
            </w:pPr>
            <w:r w:rsidRPr="00C00D1D">
              <w:t xml:space="preserve">Within </w:t>
            </w:r>
            <w:r>
              <w:t>Milton Keynes but over 10 miles from Newport Pagnell.</w:t>
            </w:r>
          </w:p>
        </w:tc>
        <w:tc>
          <w:tcPr>
            <w:tcW w:w="1417" w:type="dxa"/>
          </w:tcPr>
          <w:p w14:paraId="27A87B67" w14:textId="56F5A859" w:rsidR="00132D21" w:rsidRDefault="008D07B6" w:rsidP="002C0FF8">
            <w:pPr>
              <w:ind w:left="0"/>
              <w:jc w:val="center"/>
            </w:pPr>
            <w:r>
              <w:t>6</w:t>
            </w:r>
            <w:r w:rsidR="004803E1">
              <w:t xml:space="preserve"> or</w:t>
            </w:r>
          </w:p>
        </w:tc>
        <w:tc>
          <w:tcPr>
            <w:tcW w:w="1276" w:type="dxa"/>
          </w:tcPr>
          <w:p w14:paraId="0592EDEC" w14:textId="77777777" w:rsidR="00132D21" w:rsidRPr="00C00D1D" w:rsidRDefault="00132D21" w:rsidP="0060459E">
            <w:pPr>
              <w:ind w:left="0"/>
            </w:pPr>
          </w:p>
        </w:tc>
      </w:tr>
      <w:tr w:rsidR="00926B42" w14:paraId="68AD43A6" w14:textId="77777777" w:rsidTr="0091039F">
        <w:trPr>
          <w:trHeight w:val="244"/>
        </w:trPr>
        <w:tc>
          <w:tcPr>
            <w:tcW w:w="1157" w:type="dxa"/>
            <w:vMerge/>
            <w:shd w:val="pct10" w:color="auto" w:fill="auto"/>
          </w:tcPr>
          <w:p w14:paraId="2C35801A" w14:textId="77777777" w:rsidR="00926B42" w:rsidRPr="00C00D1D" w:rsidRDefault="00926B42" w:rsidP="002C0FF8">
            <w:pPr>
              <w:ind w:left="0"/>
            </w:pPr>
          </w:p>
        </w:tc>
        <w:tc>
          <w:tcPr>
            <w:tcW w:w="1418" w:type="dxa"/>
            <w:vMerge/>
          </w:tcPr>
          <w:p w14:paraId="1B801EEB" w14:textId="77777777" w:rsidR="00926B42" w:rsidRPr="00C00D1D" w:rsidRDefault="00926B42" w:rsidP="002C0FF8">
            <w:pPr>
              <w:ind w:left="0"/>
              <w:jc w:val="center"/>
            </w:pPr>
          </w:p>
        </w:tc>
        <w:tc>
          <w:tcPr>
            <w:tcW w:w="2976" w:type="dxa"/>
            <w:vMerge/>
          </w:tcPr>
          <w:p w14:paraId="1D2EDD10" w14:textId="77777777" w:rsidR="00926B42" w:rsidRPr="00C00D1D" w:rsidRDefault="00926B42" w:rsidP="002C0FF8">
            <w:pPr>
              <w:ind w:left="0"/>
            </w:pPr>
          </w:p>
        </w:tc>
        <w:tc>
          <w:tcPr>
            <w:tcW w:w="1305" w:type="dxa"/>
            <w:vMerge/>
          </w:tcPr>
          <w:p w14:paraId="29E3716D" w14:textId="77777777" w:rsidR="00926B42" w:rsidRPr="00133B0E" w:rsidRDefault="00926B42" w:rsidP="002C0FF8">
            <w:pPr>
              <w:ind w:left="0"/>
              <w:jc w:val="center"/>
              <w:rPr>
                <w:b/>
              </w:rPr>
            </w:pPr>
          </w:p>
        </w:tc>
        <w:tc>
          <w:tcPr>
            <w:tcW w:w="5245" w:type="dxa"/>
          </w:tcPr>
          <w:p w14:paraId="1583286F" w14:textId="310E028F" w:rsidR="00926B42" w:rsidRPr="00C00D1D" w:rsidRDefault="00E142EB" w:rsidP="00395E2D">
            <w:pPr>
              <w:ind w:left="0"/>
            </w:pPr>
            <w:r>
              <w:t>O</w:t>
            </w:r>
            <w:r w:rsidR="008D07B6">
              <w:t xml:space="preserve">utside of Buckinghamshire/Milton Keynes and over 25 miles from Newport Pagnell </w:t>
            </w:r>
          </w:p>
        </w:tc>
        <w:tc>
          <w:tcPr>
            <w:tcW w:w="1417" w:type="dxa"/>
          </w:tcPr>
          <w:p w14:paraId="63B2E8E3" w14:textId="0732736F" w:rsidR="00926B42" w:rsidRPr="00C00D1D" w:rsidRDefault="004803E1" w:rsidP="004803E1">
            <w:pPr>
              <w:ind w:left="0"/>
            </w:pPr>
            <w:r>
              <w:t xml:space="preserve">         </w:t>
            </w:r>
            <w:r w:rsidR="00132D21">
              <w:t>0</w:t>
            </w:r>
          </w:p>
        </w:tc>
        <w:tc>
          <w:tcPr>
            <w:tcW w:w="1276" w:type="dxa"/>
          </w:tcPr>
          <w:p w14:paraId="619D4001" w14:textId="4EB4BC7F" w:rsidR="00926B42" w:rsidRPr="00C00D1D" w:rsidRDefault="00926B42" w:rsidP="002C0FF8">
            <w:pPr>
              <w:ind w:left="0"/>
              <w:jc w:val="center"/>
            </w:pPr>
          </w:p>
        </w:tc>
      </w:tr>
      <w:tr w:rsidR="00926B42" w14:paraId="6FF14FD3" w14:textId="77777777" w:rsidTr="0091039F">
        <w:trPr>
          <w:trHeight w:val="50"/>
        </w:trPr>
        <w:tc>
          <w:tcPr>
            <w:tcW w:w="1157" w:type="dxa"/>
            <w:vMerge/>
            <w:shd w:val="pct10" w:color="auto" w:fill="auto"/>
          </w:tcPr>
          <w:p w14:paraId="5A09169D" w14:textId="77777777" w:rsidR="00926B42" w:rsidRPr="00C00D1D" w:rsidRDefault="00926B42" w:rsidP="002C0FF8">
            <w:pPr>
              <w:ind w:left="0"/>
            </w:pPr>
          </w:p>
        </w:tc>
        <w:tc>
          <w:tcPr>
            <w:tcW w:w="1418" w:type="dxa"/>
            <w:vMerge/>
          </w:tcPr>
          <w:p w14:paraId="29B560AD" w14:textId="77777777" w:rsidR="00926B42" w:rsidRPr="00C00D1D" w:rsidRDefault="00926B42" w:rsidP="002C0FF8">
            <w:pPr>
              <w:ind w:left="0"/>
              <w:jc w:val="center"/>
            </w:pPr>
          </w:p>
        </w:tc>
        <w:tc>
          <w:tcPr>
            <w:tcW w:w="2976" w:type="dxa"/>
            <w:vMerge w:val="restart"/>
          </w:tcPr>
          <w:p w14:paraId="2E4A85F2" w14:textId="77777777" w:rsidR="00926B42" w:rsidRPr="00BD23C4" w:rsidRDefault="00926B42" w:rsidP="0050679A">
            <w:pPr>
              <w:ind w:left="0"/>
              <w:rPr>
                <w:b/>
              </w:rPr>
            </w:pPr>
            <w:r w:rsidRPr="00BD23C4">
              <w:rPr>
                <w:b/>
              </w:rPr>
              <w:t>Experience</w:t>
            </w:r>
          </w:p>
        </w:tc>
        <w:tc>
          <w:tcPr>
            <w:tcW w:w="1305" w:type="dxa"/>
            <w:vMerge w:val="restart"/>
          </w:tcPr>
          <w:p w14:paraId="7C01581F" w14:textId="4C5BC56C" w:rsidR="00926B42" w:rsidRPr="00133B0E" w:rsidRDefault="0054185C" w:rsidP="00BD23C4">
            <w:pPr>
              <w:ind w:left="0"/>
              <w:jc w:val="center"/>
              <w:rPr>
                <w:b/>
              </w:rPr>
            </w:pPr>
            <w:r>
              <w:rPr>
                <w:b/>
              </w:rPr>
              <w:t>2</w:t>
            </w:r>
            <w:r w:rsidR="00DA3415">
              <w:rPr>
                <w:b/>
              </w:rPr>
              <w:t>2</w:t>
            </w:r>
            <w:r w:rsidR="00926B42" w:rsidRPr="00133B0E">
              <w:rPr>
                <w:b/>
              </w:rPr>
              <w:t>%</w:t>
            </w:r>
          </w:p>
        </w:tc>
        <w:tc>
          <w:tcPr>
            <w:tcW w:w="5245" w:type="dxa"/>
          </w:tcPr>
          <w:p w14:paraId="5A9E9AD7" w14:textId="79F979F9" w:rsidR="00926B42" w:rsidRPr="00C00D1D" w:rsidRDefault="00926B42" w:rsidP="0050679A">
            <w:pPr>
              <w:ind w:left="0"/>
            </w:pPr>
            <w:r w:rsidRPr="00C00D1D">
              <w:t>T</w:t>
            </w:r>
            <w:r w:rsidR="00892B17">
              <w:t>wo</w:t>
            </w:r>
            <w:r w:rsidRPr="00C00D1D">
              <w:t xml:space="preserve"> relevant references</w:t>
            </w:r>
            <w:r w:rsidR="00B73CE4">
              <w:t xml:space="preserve"> including comment from referees </w:t>
            </w:r>
          </w:p>
        </w:tc>
        <w:tc>
          <w:tcPr>
            <w:tcW w:w="1417" w:type="dxa"/>
          </w:tcPr>
          <w:p w14:paraId="11A7146F" w14:textId="6CB6149B" w:rsidR="00926B42" w:rsidRPr="00C00D1D" w:rsidRDefault="0054185C" w:rsidP="00BD23C4">
            <w:pPr>
              <w:ind w:left="0"/>
              <w:jc w:val="center"/>
            </w:pPr>
            <w:r>
              <w:t>8</w:t>
            </w:r>
          </w:p>
        </w:tc>
        <w:tc>
          <w:tcPr>
            <w:tcW w:w="1276" w:type="dxa"/>
          </w:tcPr>
          <w:p w14:paraId="51C79022" w14:textId="31F189B3" w:rsidR="00926B42" w:rsidRPr="00C00D1D" w:rsidRDefault="00926B42" w:rsidP="0060459E">
            <w:pPr>
              <w:ind w:left="0"/>
            </w:pPr>
          </w:p>
        </w:tc>
      </w:tr>
      <w:tr w:rsidR="00926B42" w14:paraId="28B31C72" w14:textId="77777777" w:rsidTr="0091039F">
        <w:trPr>
          <w:trHeight w:val="466"/>
        </w:trPr>
        <w:tc>
          <w:tcPr>
            <w:tcW w:w="1157" w:type="dxa"/>
            <w:vMerge/>
            <w:shd w:val="pct10" w:color="auto" w:fill="auto"/>
          </w:tcPr>
          <w:p w14:paraId="17904BF0" w14:textId="77777777" w:rsidR="00926B42" w:rsidRPr="00C00D1D" w:rsidRDefault="00926B42" w:rsidP="002C0FF8">
            <w:pPr>
              <w:ind w:left="0"/>
            </w:pPr>
          </w:p>
        </w:tc>
        <w:tc>
          <w:tcPr>
            <w:tcW w:w="1418" w:type="dxa"/>
            <w:vMerge/>
          </w:tcPr>
          <w:p w14:paraId="15BDFA73" w14:textId="77777777" w:rsidR="00926B42" w:rsidRPr="00C00D1D" w:rsidRDefault="00926B42" w:rsidP="002C0FF8">
            <w:pPr>
              <w:ind w:left="0"/>
              <w:jc w:val="center"/>
            </w:pPr>
          </w:p>
        </w:tc>
        <w:tc>
          <w:tcPr>
            <w:tcW w:w="2976" w:type="dxa"/>
            <w:vMerge/>
          </w:tcPr>
          <w:p w14:paraId="343DD376" w14:textId="77777777" w:rsidR="00926B42" w:rsidRPr="00C00D1D" w:rsidRDefault="00926B42" w:rsidP="002C0FF8">
            <w:pPr>
              <w:ind w:left="0"/>
            </w:pPr>
          </w:p>
        </w:tc>
        <w:tc>
          <w:tcPr>
            <w:tcW w:w="1305" w:type="dxa"/>
            <w:vMerge/>
          </w:tcPr>
          <w:p w14:paraId="42E62CDC" w14:textId="77777777" w:rsidR="00926B42" w:rsidRPr="00133B0E" w:rsidRDefault="00926B42" w:rsidP="002C0FF8">
            <w:pPr>
              <w:ind w:left="0"/>
              <w:jc w:val="center"/>
              <w:rPr>
                <w:b/>
              </w:rPr>
            </w:pPr>
          </w:p>
        </w:tc>
        <w:tc>
          <w:tcPr>
            <w:tcW w:w="5245" w:type="dxa"/>
          </w:tcPr>
          <w:p w14:paraId="1353C958" w14:textId="6E49F4CE" w:rsidR="00926B42" w:rsidRPr="00C00D1D" w:rsidRDefault="00892B17" w:rsidP="006C2F94">
            <w:pPr>
              <w:ind w:left="0"/>
            </w:pPr>
            <w:r>
              <w:t>In addition to the two referees above, o</w:t>
            </w:r>
            <w:r w:rsidR="00926B42" w:rsidRPr="00E124B9">
              <w:t xml:space="preserve">ne </w:t>
            </w:r>
            <w:r w:rsidR="00926B42">
              <w:t xml:space="preserve">current reference </w:t>
            </w:r>
            <w:r>
              <w:t xml:space="preserve">with a </w:t>
            </w:r>
            <w:r w:rsidR="00926B42" w:rsidRPr="00E124B9">
              <w:t>local government</w:t>
            </w:r>
            <w:r w:rsidR="00926B42">
              <w:t xml:space="preserve"> body</w:t>
            </w:r>
            <w:r>
              <w:t xml:space="preserve"> including comment from referee.</w:t>
            </w:r>
          </w:p>
        </w:tc>
        <w:tc>
          <w:tcPr>
            <w:tcW w:w="1417" w:type="dxa"/>
          </w:tcPr>
          <w:p w14:paraId="105FEB25" w14:textId="06AB9273" w:rsidR="00926B42" w:rsidRPr="00C00D1D" w:rsidRDefault="0054185C" w:rsidP="006A0985">
            <w:pPr>
              <w:ind w:left="0"/>
              <w:jc w:val="center"/>
            </w:pPr>
            <w:r>
              <w:t>4</w:t>
            </w:r>
          </w:p>
        </w:tc>
        <w:tc>
          <w:tcPr>
            <w:tcW w:w="1276" w:type="dxa"/>
          </w:tcPr>
          <w:p w14:paraId="4ACCAA6E" w14:textId="26F8DC64" w:rsidR="00926B42" w:rsidRPr="00C00D1D" w:rsidRDefault="00926B42" w:rsidP="006A0985">
            <w:pPr>
              <w:ind w:left="0"/>
              <w:jc w:val="center"/>
            </w:pPr>
          </w:p>
        </w:tc>
      </w:tr>
      <w:tr w:rsidR="00926B42" w14:paraId="718D7617" w14:textId="77777777" w:rsidTr="0091039F">
        <w:trPr>
          <w:trHeight w:val="247"/>
        </w:trPr>
        <w:tc>
          <w:tcPr>
            <w:tcW w:w="1157" w:type="dxa"/>
            <w:vMerge/>
            <w:shd w:val="pct10" w:color="auto" w:fill="auto"/>
          </w:tcPr>
          <w:p w14:paraId="7A571D20" w14:textId="77777777" w:rsidR="00926B42" w:rsidRPr="00C00D1D" w:rsidRDefault="00926B42" w:rsidP="002C0FF8">
            <w:pPr>
              <w:ind w:left="0"/>
            </w:pPr>
          </w:p>
        </w:tc>
        <w:tc>
          <w:tcPr>
            <w:tcW w:w="1418" w:type="dxa"/>
            <w:vMerge/>
          </w:tcPr>
          <w:p w14:paraId="7B053B0C" w14:textId="77777777" w:rsidR="00926B42" w:rsidRPr="00C00D1D" w:rsidRDefault="00926B42" w:rsidP="002C0FF8">
            <w:pPr>
              <w:ind w:left="0"/>
              <w:jc w:val="center"/>
            </w:pPr>
          </w:p>
        </w:tc>
        <w:tc>
          <w:tcPr>
            <w:tcW w:w="2976" w:type="dxa"/>
            <w:vMerge/>
          </w:tcPr>
          <w:p w14:paraId="12B74741" w14:textId="77777777" w:rsidR="00926B42" w:rsidRPr="00C00D1D" w:rsidRDefault="00926B42" w:rsidP="0050679A">
            <w:pPr>
              <w:ind w:left="0"/>
            </w:pPr>
          </w:p>
        </w:tc>
        <w:tc>
          <w:tcPr>
            <w:tcW w:w="1305" w:type="dxa"/>
            <w:vMerge/>
          </w:tcPr>
          <w:p w14:paraId="1C3540E3" w14:textId="77777777" w:rsidR="00926B42" w:rsidRPr="00133B0E" w:rsidRDefault="00926B42" w:rsidP="0050679A">
            <w:pPr>
              <w:ind w:left="0"/>
              <w:rPr>
                <w:b/>
              </w:rPr>
            </w:pPr>
          </w:p>
        </w:tc>
        <w:tc>
          <w:tcPr>
            <w:tcW w:w="5245" w:type="dxa"/>
          </w:tcPr>
          <w:p w14:paraId="420707C0" w14:textId="000C0554" w:rsidR="00926B42" w:rsidRPr="00C00D1D" w:rsidRDefault="00926B42" w:rsidP="00683DC3">
            <w:pPr>
              <w:ind w:left="0"/>
            </w:pPr>
            <w:r>
              <w:t>Specified p</w:t>
            </w:r>
            <w:r w:rsidRPr="00C00D1D">
              <w:t>olicies and procedures</w:t>
            </w:r>
            <w:r w:rsidR="008D07B6">
              <w:t xml:space="preserve"> relating to RIBA stages and client communications </w:t>
            </w:r>
          </w:p>
        </w:tc>
        <w:tc>
          <w:tcPr>
            <w:tcW w:w="1417" w:type="dxa"/>
          </w:tcPr>
          <w:p w14:paraId="22C12EF0" w14:textId="71B44FE3" w:rsidR="00926B42" w:rsidRPr="00C00D1D" w:rsidRDefault="00DA3415" w:rsidP="0050679A">
            <w:pPr>
              <w:ind w:left="0"/>
              <w:jc w:val="center"/>
            </w:pPr>
            <w:r>
              <w:t>4</w:t>
            </w:r>
          </w:p>
        </w:tc>
        <w:tc>
          <w:tcPr>
            <w:tcW w:w="1276" w:type="dxa"/>
          </w:tcPr>
          <w:p w14:paraId="68326D06" w14:textId="4D5A9452" w:rsidR="00926B42" w:rsidRPr="00C00D1D" w:rsidRDefault="00926B42" w:rsidP="0050679A">
            <w:pPr>
              <w:ind w:left="0"/>
              <w:jc w:val="center"/>
            </w:pPr>
          </w:p>
        </w:tc>
      </w:tr>
      <w:tr w:rsidR="00926B42" w14:paraId="1900712D" w14:textId="77777777" w:rsidTr="0091039F">
        <w:trPr>
          <w:trHeight w:val="341"/>
        </w:trPr>
        <w:tc>
          <w:tcPr>
            <w:tcW w:w="1157" w:type="dxa"/>
            <w:vMerge/>
            <w:shd w:val="pct10" w:color="auto" w:fill="auto"/>
          </w:tcPr>
          <w:p w14:paraId="5AF8344F" w14:textId="77777777" w:rsidR="00926B42" w:rsidRPr="00C00D1D" w:rsidRDefault="00926B42" w:rsidP="002C0FF8">
            <w:pPr>
              <w:ind w:left="0"/>
            </w:pPr>
          </w:p>
        </w:tc>
        <w:tc>
          <w:tcPr>
            <w:tcW w:w="1418" w:type="dxa"/>
            <w:vMerge/>
          </w:tcPr>
          <w:p w14:paraId="7EFBA086" w14:textId="77777777" w:rsidR="00926B42" w:rsidRPr="00C00D1D" w:rsidRDefault="00926B42" w:rsidP="002C0FF8">
            <w:pPr>
              <w:ind w:left="0"/>
              <w:jc w:val="center"/>
            </w:pPr>
          </w:p>
        </w:tc>
        <w:tc>
          <w:tcPr>
            <w:tcW w:w="2976" w:type="dxa"/>
            <w:vMerge/>
          </w:tcPr>
          <w:p w14:paraId="164A2F1E" w14:textId="77777777" w:rsidR="00926B42" w:rsidRPr="00C00D1D" w:rsidRDefault="00926B42" w:rsidP="002C0FF8">
            <w:pPr>
              <w:ind w:left="0"/>
            </w:pPr>
          </w:p>
        </w:tc>
        <w:tc>
          <w:tcPr>
            <w:tcW w:w="1305" w:type="dxa"/>
            <w:vMerge/>
          </w:tcPr>
          <w:p w14:paraId="36FE3DE2" w14:textId="77777777" w:rsidR="00926B42" w:rsidRPr="00133B0E" w:rsidRDefault="00926B42" w:rsidP="002C0FF8">
            <w:pPr>
              <w:ind w:left="0"/>
              <w:jc w:val="center"/>
              <w:rPr>
                <w:b/>
              </w:rPr>
            </w:pPr>
          </w:p>
        </w:tc>
        <w:tc>
          <w:tcPr>
            <w:tcW w:w="5245" w:type="dxa"/>
          </w:tcPr>
          <w:p w14:paraId="5298D27B" w14:textId="5A66575E" w:rsidR="00926B42" w:rsidRPr="00C00D1D" w:rsidRDefault="00926B42" w:rsidP="00395E2D">
            <w:pPr>
              <w:ind w:left="0"/>
            </w:pPr>
            <w:r>
              <w:t>Evidence of</w:t>
            </w:r>
            <w:r w:rsidR="008D07B6">
              <w:t xml:space="preserve"> relationship building with other clients </w:t>
            </w:r>
          </w:p>
        </w:tc>
        <w:tc>
          <w:tcPr>
            <w:tcW w:w="1417" w:type="dxa"/>
          </w:tcPr>
          <w:p w14:paraId="4BCF882F" w14:textId="1F65BEA1" w:rsidR="00926B42" w:rsidRPr="00C00D1D" w:rsidRDefault="0054185C" w:rsidP="00395E2D">
            <w:pPr>
              <w:ind w:left="0"/>
              <w:jc w:val="center"/>
            </w:pPr>
            <w:r>
              <w:t>6</w:t>
            </w:r>
          </w:p>
        </w:tc>
        <w:tc>
          <w:tcPr>
            <w:tcW w:w="1276" w:type="dxa"/>
          </w:tcPr>
          <w:p w14:paraId="73A84232" w14:textId="111CFECB" w:rsidR="00926B42" w:rsidRPr="00C00D1D" w:rsidRDefault="00926B42" w:rsidP="002C0FF8">
            <w:pPr>
              <w:ind w:left="0"/>
              <w:jc w:val="center"/>
            </w:pPr>
          </w:p>
        </w:tc>
      </w:tr>
      <w:tr w:rsidR="00926B42" w14:paraId="249CB2E2" w14:textId="77777777" w:rsidTr="0091039F">
        <w:trPr>
          <w:trHeight w:val="367"/>
        </w:trPr>
        <w:tc>
          <w:tcPr>
            <w:tcW w:w="1157" w:type="dxa"/>
            <w:vMerge/>
            <w:shd w:val="pct10" w:color="auto" w:fill="auto"/>
          </w:tcPr>
          <w:p w14:paraId="41028C50" w14:textId="77777777" w:rsidR="00926B42" w:rsidRPr="00C00D1D" w:rsidRDefault="00926B42" w:rsidP="002C0FF8">
            <w:pPr>
              <w:ind w:left="0"/>
            </w:pPr>
          </w:p>
        </w:tc>
        <w:tc>
          <w:tcPr>
            <w:tcW w:w="1418" w:type="dxa"/>
            <w:vMerge/>
          </w:tcPr>
          <w:p w14:paraId="19CD9F0C" w14:textId="77777777" w:rsidR="00926B42" w:rsidRPr="00C00D1D" w:rsidRDefault="00926B42" w:rsidP="002C0FF8">
            <w:pPr>
              <w:ind w:left="0"/>
              <w:jc w:val="center"/>
            </w:pPr>
          </w:p>
        </w:tc>
        <w:tc>
          <w:tcPr>
            <w:tcW w:w="2976" w:type="dxa"/>
            <w:vMerge w:val="restart"/>
          </w:tcPr>
          <w:p w14:paraId="005B5BDE" w14:textId="77777777" w:rsidR="00926B42" w:rsidRPr="00BD23C4" w:rsidRDefault="00926B42" w:rsidP="009132E9">
            <w:pPr>
              <w:ind w:left="0"/>
              <w:rPr>
                <w:b/>
              </w:rPr>
            </w:pPr>
            <w:r w:rsidRPr="00BD23C4">
              <w:rPr>
                <w:b/>
              </w:rPr>
              <w:t>Staffing and Structure</w:t>
            </w:r>
          </w:p>
        </w:tc>
        <w:tc>
          <w:tcPr>
            <w:tcW w:w="1305" w:type="dxa"/>
            <w:vMerge w:val="restart"/>
          </w:tcPr>
          <w:p w14:paraId="4BDFF238" w14:textId="03BBE6BC" w:rsidR="00926B42" w:rsidRPr="00133B0E" w:rsidRDefault="00DA3415" w:rsidP="00EC1A5A">
            <w:pPr>
              <w:ind w:left="0"/>
              <w:jc w:val="center"/>
              <w:rPr>
                <w:b/>
              </w:rPr>
            </w:pPr>
            <w:r>
              <w:rPr>
                <w:b/>
              </w:rPr>
              <w:t>25</w:t>
            </w:r>
            <w:r w:rsidR="00926B42" w:rsidRPr="00133B0E">
              <w:rPr>
                <w:b/>
              </w:rPr>
              <w:t>%</w:t>
            </w:r>
          </w:p>
        </w:tc>
        <w:tc>
          <w:tcPr>
            <w:tcW w:w="5245" w:type="dxa"/>
          </w:tcPr>
          <w:p w14:paraId="695C2C61" w14:textId="63ADA4AD" w:rsidR="00926B42" w:rsidRPr="00C00D1D" w:rsidRDefault="00926B42" w:rsidP="002C0FF8">
            <w:pPr>
              <w:ind w:left="0"/>
            </w:pPr>
            <w:r>
              <w:t>Dedicated</w:t>
            </w:r>
            <w:r w:rsidR="008D07B6">
              <w:t xml:space="preserve"> architect</w:t>
            </w:r>
          </w:p>
        </w:tc>
        <w:tc>
          <w:tcPr>
            <w:tcW w:w="1417" w:type="dxa"/>
          </w:tcPr>
          <w:p w14:paraId="101F6BE5" w14:textId="40B68CF7" w:rsidR="00926B42" w:rsidRPr="00C00D1D" w:rsidRDefault="0054185C" w:rsidP="002C0FF8">
            <w:pPr>
              <w:ind w:left="0"/>
              <w:jc w:val="center"/>
            </w:pPr>
            <w:r>
              <w:t>5</w:t>
            </w:r>
          </w:p>
        </w:tc>
        <w:tc>
          <w:tcPr>
            <w:tcW w:w="1276" w:type="dxa"/>
          </w:tcPr>
          <w:p w14:paraId="207ADDD3" w14:textId="338EA301" w:rsidR="00926B42" w:rsidRPr="00C00D1D" w:rsidRDefault="00926B42" w:rsidP="0060459E">
            <w:pPr>
              <w:ind w:left="0"/>
            </w:pPr>
          </w:p>
        </w:tc>
      </w:tr>
      <w:tr w:rsidR="00BD23C4" w14:paraId="2FEDBA17" w14:textId="77777777" w:rsidTr="0091039F">
        <w:trPr>
          <w:trHeight w:val="366"/>
        </w:trPr>
        <w:tc>
          <w:tcPr>
            <w:tcW w:w="1157" w:type="dxa"/>
            <w:vMerge/>
            <w:shd w:val="pct10" w:color="auto" w:fill="auto"/>
          </w:tcPr>
          <w:p w14:paraId="2A8749AA" w14:textId="77777777" w:rsidR="00BD23C4" w:rsidRPr="00C00D1D" w:rsidRDefault="00BD23C4" w:rsidP="002C0FF8">
            <w:pPr>
              <w:ind w:left="0"/>
            </w:pPr>
          </w:p>
        </w:tc>
        <w:tc>
          <w:tcPr>
            <w:tcW w:w="1418" w:type="dxa"/>
            <w:vMerge/>
          </w:tcPr>
          <w:p w14:paraId="2321D620" w14:textId="77777777" w:rsidR="00BD23C4" w:rsidRPr="00C00D1D" w:rsidRDefault="00BD23C4" w:rsidP="002C0FF8">
            <w:pPr>
              <w:ind w:left="0"/>
              <w:jc w:val="center"/>
            </w:pPr>
          </w:p>
        </w:tc>
        <w:tc>
          <w:tcPr>
            <w:tcW w:w="2976" w:type="dxa"/>
            <w:vMerge/>
          </w:tcPr>
          <w:p w14:paraId="64205B85" w14:textId="77777777" w:rsidR="00BD23C4" w:rsidRPr="00BD23C4" w:rsidRDefault="00BD23C4" w:rsidP="002C0FF8">
            <w:pPr>
              <w:ind w:left="0"/>
              <w:rPr>
                <w:b/>
              </w:rPr>
            </w:pPr>
          </w:p>
        </w:tc>
        <w:tc>
          <w:tcPr>
            <w:tcW w:w="1305" w:type="dxa"/>
            <w:vMerge/>
          </w:tcPr>
          <w:p w14:paraId="4863EB9C" w14:textId="77777777" w:rsidR="00BD23C4" w:rsidRPr="00133B0E" w:rsidRDefault="00BD23C4" w:rsidP="002C0FF8">
            <w:pPr>
              <w:ind w:left="0"/>
              <w:jc w:val="center"/>
              <w:rPr>
                <w:b/>
              </w:rPr>
            </w:pPr>
          </w:p>
        </w:tc>
        <w:tc>
          <w:tcPr>
            <w:tcW w:w="5245" w:type="dxa"/>
          </w:tcPr>
          <w:p w14:paraId="3C52A7E6" w14:textId="021665CD" w:rsidR="00BD23C4" w:rsidRPr="00C00D1D" w:rsidRDefault="0054185C" w:rsidP="00395E2D">
            <w:pPr>
              <w:ind w:left="0"/>
            </w:pPr>
            <w:r>
              <w:t xml:space="preserve">Evidence of willingness to amend plans repeatedly to meet client requirements </w:t>
            </w:r>
            <w:r w:rsidR="00DA3415">
              <w:t>and willingness to make proposals for improving site options</w:t>
            </w:r>
            <w:r w:rsidR="0091039F">
              <w:t xml:space="preserve"> and to undertake value engineering</w:t>
            </w:r>
          </w:p>
        </w:tc>
        <w:tc>
          <w:tcPr>
            <w:tcW w:w="1417" w:type="dxa"/>
          </w:tcPr>
          <w:p w14:paraId="49FFEF6E" w14:textId="6A3424E4" w:rsidR="00BD23C4" w:rsidRPr="00C00D1D" w:rsidRDefault="0054185C" w:rsidP="0050679A">
            <w:pPr>
              <w:ind w:left="0"/>
              <w:jc w:val="center"/>
            </w:pPr>
            <w:r>
              <w:t>4</w:t>
            </w:r>
          </w:p>
        </w:tc>
        <w:tc>
          <w:tcPr>
            <w:tcW w:w="1276" w:type="dxa"/>
          </w:tcPr>
          <w:p w14:paraId="7A9136BC" w14:textId="74E26636" w:rsidR="00BD23C4" w:rsidRPr="00C00D1D" w:rsidRDefault="00BD23C4" w:rsidP="00D2027D">
            <w:pPr>
              <w:ind w:left="0"/>
              <w:jc w:val="center"/>
            </w:pPr>
          </w:p>
        </w:tc>
      </w:tr>
      <w:tr w:rsidR="00B73CE4" w14:paraId="2B0896D5" w14:textId="77777777" w:rsidTr="0091039F">
        <w:trPr>
          <w:trHeight w:val="366"/>
        </w:trPr>
        <w:tc>
          <w:tcPr>
            <w:tcW w:w="1157" w:type="dxa"/>
            <w:vMerge/>
            <w:shd w:val="pct10" w:color="auto" w:fill="auto"/>
          </w:tcPr>
          <w:p w14:paraId="273276FD" w14:textId="77777777" w:rsidR="00B73CE4" w:rsidRPr="00C00D1D" w:rsidRDefault="00B73CE4" w:rsidP="002C0FF8">
            <w:pPr>
              <w:ind w:left="0"/>
            </w:pPr>
          </w:p>
        </w:tc>
        <w:tc>
          <w:tcPr>
            <w:tcW w:w="1418" w:type="dxa"/>
            <w:vMerge/>
          </w:tcPr>
          <w:p w14:paraId="560B8414" w14:textId="77777777" w:rsidR="00B73CE4" w:rsidRPr="00C00D1D" w:rsidRDefault="00B73CE4" w:rsidP="002C0FF8">
            <w:pPr>
              <w:ind w:left="0"/>
              <w:jc w:val="center"/>
            </w:pPr>
          </w:p>
        </w:tc>
        <w:tc>
          <w:tcPr>
            <w:tcW w:w="2976" w:type="dxa"/>
            <w:vMerge/>
          </w:tcPr>
          <w:p w14:paraId="12D6C7A3" w14:textId="77777777" w:rsidR="00B73CE4" w:rsidRPr="00BD23C4" w:rsidRDefault="00B73CE4" w:rsidP="002C0FF8">
            <w:pPr>
              <w:ind w:left="0"/>
              <w:rPr>
                <w:b/>
              </w:rPr>
            </w:pPr>
          </w:p>
        </w:tc>
        <w:tc>
          <w:tcPr>
            <w:tcW w:w="1305" w:type="dxa"/>
            <w:vMerge/>
          </w:tcPr>
          <w:p w14:paraId="54B57FEC" w14:textId="77777777" w:rsidR="00B73CE4" w:rsidRPr="00133B0E" w:rsidRDefault="00B73CE4" w:rsidP="002C0FF8">
            <w:pPr>
              <w:ind w:left="0"/>
              <w:jc w:val="center"/>
              <w:rPr>
                <w:b/>
              </w:rPr>
            </w:pPr>
          </w:p>
        </w:tc>
        <w:tc>
          <w:tcPr>
            <w:tcW w:w="5245" w:type="dxa"/>
          </w:tcPr>
          <w:p w14:paraId="51F9540E" w14:textId="1930A816" w:rsidR="00B73CE4" w:rsidRDefault="0054185C" w:rsidP="00395E2D">
            <w:pPr>
              <w:ind w:left="0"/>
            </w:pPr>
            <w:r>
              <w:t xml:space="preserve">Specified number of hours for client contact </w:t>
            </w:r>
            <w:r w:rsidR="0091039F">
              <w:t>and for hours allocated to entire project ***</w:t>
            </w:r>
          </w:p>
        </w:tc>
        <w:tc>
          <w:tcPr>
            <w:tcW w:w="1417" w:type="dxa"/>
          </w:tcPr>
          <w:p w14:paraId="651A7653" w14:textId="363148F2" w:rsidR="00B73CE4" w:rsidRDefault="0054185C" w:rsidP="0050679A">
            <w:pPr>
              <w:ind w:left="0"/>
              <w:jc w:val="center"/>
            </w:pPr>
            <w:r>
              <w:t>4</w:t>
            </w:r>
          </w:p>
        </w:tc>
        <w:tc>
          <w:tcPr>
            <w:tcW w:w="1276" w:type="dxa"/>
          </w:tcPr>
          <w:p w14:paraId="433A34CE" w14:textId="5110AD1B" w:rsidR="00B73CE4" w:rsidRDefault="00B73CE4" w:rsidP="00D2027D">
            <w:pPr>
              <w:ind w:left="0"/>
              <w:jc w:val="center"/>
            </w:pPr>
          </w:p>
        </w:tc>
      </w:tr>
      <w:tr w:rsidR="007257E5" w14:paraId="04F5BCDD" w14:textId="77777777" w:rsidTr="0091039F">
        <w:trPr>
          <w:trHeight w:val="366"/>
        </w:trPr>
        <w:tc>
          <w:tcPr>
            <w:tcW w:w="1157" w:type="dxa"/>
            <w:vMerge/>
            <w:shd w:val="pct10" w:color="auto" w:fill="auto"/>
          </w:tcPr>
          <w:p w14:paraId="621EF9EF" w14:textId="77777777" w:rsidR="007257E5" w:rsidRPr="00C00D1D" w:rsidRDefault="007257E5" w:rsidP="002C0FF8">
            <w:pPr>
              <w:ind w:left="0"/>
            </w:pPr>
          </w:p>
        </w:tc>
        <w:tc>
          <w:tcPr>
            <w:tcW w:w="1418" w:type="dxa"/>
            <w:vMerge/>
          </w:tcPr>
          <w:p w14:paraId="59673D42" w14:textId="77777777" w:rsidR="007257E5" w:rsidRPr="00C00D1D" w:rsidRDefault="007257E5" w:rsidP="002C0FF8">
            <w:pPr>
              <w:ind w:left="0"/>
              <w:jc w:val="center"/>
            </w:pPr>
          </w:p>
        </w:tc>
        <w:tc>
          <w:tcPr>
            <w:tcW w:w="2976" w:type="dxa"/>
            <w:vMerge/>
          </w:tcPr>
          <w:p w14:paraId="68A5FB58" w14:textId="77777777" w:rsidR="007257E5" w:rsidRPr="00BD23C4" w:rsidRDefault="007257E5" w:rsidP="002C0FF8">
            <w:pPr>
              <w:ind w:left="0"/>
              <w:rPr>
                <w:b/>
              </w:rPr>
            </w:pPr>
          </w:p>
        </w:tc>
        <w:tc>
          <w:tcPr>
            <w:tcW w:w="1305" w:type="dxa"/>
            <w:vMerge/>
          </w:tcPr>
          <w:p w14:paraId="42A84E2A" w14:textId="77777777" w:rsidR="007257E5" w:rsidRPr="00133B0E" w:rsidRDefault="007257E5" w:rsidP="002C0FF8">
            <w:pPr>
              <w:ind w:left="0"/>
              <w:jc w:val="center"/>
              <w:rPr>
                <w:b/>
              </w:rPr>
            </w:pPr>
          </w:p>
        </w:tc>
        <w:tc>
          <w:tcPr>
            <w:tcW w:w="5245" w:type="dxa"/>
          </w:tcPr>
          <w:p w14:paraId="4DCB6A03" w14:textId="6DD50565" w:rsidR="007257E5" w:rsidRDefault="00EA19CE" w:rsidP="00395E2D">
            <w:pPr>
              <w:ind w:left="0"/>
            </w:pPr>
            <w:r>
              <w:t xml:space="preserve">Evidence of </w:t>
            </w:r>
            <w:r w:rsidR="0054185C">
              <w:t xml:space="preserve">longer term project management on projects of this scale </w:t>
            </w:r>
          </w:p>
        </w:tc>
        <w:tc>
          <w:tcPr>
            <w:tcW w:w="1417" w:type="dxa"/>
          </w:tcPr>
          <w:p w14:paraId="0FAEDD3E" w14:textId="6B73E271" w:rsidR="007257E5" w:rsidRDefault="0054185C" w:rsidP="0050679A">
            <w:pPr>
              <w:ind w:left="0"/>
              <w:jc w:val="center"/>
            </w:pPr>
            <w:r>
              <w:t>3</w:t>
            </w:r>
          </w:p>
        </w:tc>
        <w:tc>
          <w:tcPr>
            <w:tcW w:w="1276" w:type="dxa"/>
          </w:tcPr>
          <w:p w14:paraId="426A596F" w14:textId="77777777" w:rsidR="007257E5" w:rsidRDefault="007257E5" w:rsidP="00D2027D">
            <w:pPr>
              <w:ind w:left="0"/>
              <w:jc w:val="center"/>
            </w:pPr>
          </w:p>
        </w:tc>
      </w:tr>
      <w:tr w:rsidR="00BD23C4" w14:paraId="447A8946" w14:textId="77777777" w:rsidTr="0091039F">
        <w:trPr>
          <w:trHeight w:val="366"/>
        </w:trPr>
        <w:tc>
          <w:tcPr>
            <w:tcW w:w="1157" w:type="dxa"/>
            <w:vMerge/>
            <w:shd w:val="pct10" w:color="auto" w:fill="auto"/>
          </w:tcPr>
          <w:p w14:paraId="4E08DE7E" w14:textId="77777777" w:rsidR="00BD23C4" w:rsidRPr="00C00D1D" w:rsidRDefault="00BD23C4" w:rsidP="002C0FF8">
            <w:pPr>
              <w:ind w:left="0"/>
            </w:pPr>
          </w:p>
        </w:tc>
        <w:tc>
          <w:tcPr>
            <w:tcW w:w="1418" w:type="dxa"/>
            <w:vMerge/>
          </w:tcPr>
          <w:p w14:paraId="454C7552" w14:textId="77777777" w:rsidR="00BD23C4" w:rsidRPr="00C00D1D" w:rsidRDefault="00BD23C4" w:rsidP="002C0FF8">
            <w:pPr>
              <w:ind w:left="0"/>
              <w:jc w:val="center"/>
            </w:pPr>
          </w:p>
        </w:tc>
        <w:tc>
          <w:tcPr>
            <w:tcW w:w="2976" w:type="dxa"/>
            <w:vMerge/>
          </w:tcPr>
          <w:p w14:paraId="213D93B2" w14:textId="77777777" w:rsidR="00BD23C4" w:rsidRPr="00BD23C4" w:rsidRDefault="00BD23C4" w:rsidP="002C0FF8">
            <w:pPr>
              <w:ind w:left="0"/>
              <w:rPr>
                <w:b/>
              </w:rPr>
            </w:pPr>
          </w:p>
        </w:tc>
        <w:tc>
          <w:tcPr>
            <w:tcW w:w="1305" w:type="dxa"/>
            <w:vMerge/>
          </w:tcPr>
          <w:p w14:paraId="5257E363" w14:textId="77777777" w:rsidR="00BD23C4" w:rsidRPr="00133B0E" w:rsidRDefault="00BD23C4" w:rsidP="002C0FF8">
            <w:pPr>
              <w:ind w:left="0"/>
              <w:jc w:val="center"/>
              <w:rPr>
                <w:b/>
              </w:rPr>
            </w:pPr>
          </w:p>
        </w:tc>
        <w:tc>
          <w:tcPr>
            <w:tcW w:w="5245" w:type="dxa"/>
          </w:tcPr>
          <w:p w14:paraId="10BB30FF" w14:textId="628CB492" w:rsidR="00BD23C4" w:rsidRPr="00C00D1D" w:rsidRDefault="0054185C" w:rsidP="00395E2D">
            <w:pPr>
              <w:ind w:left="0"/>
            </w:pPr>
            <w:r>
              <w:t xml:space="preserve">Evidence of a high success rate with planning authorities approving plans   </w:t>
            </w:r>
          </w:p>
        </w:tc>
        <w:tc>
          <w:tcPr>
            <w:tcW w:w="1417" w:type="dxa"/>
          </w:tcPr>
          <w:p w14:paraId="78536CEB" w14:textId="6B1E57EC" w:rsidR="00BD23C4" w:rsidRPr="00C00D1D" w:rsidRDefault="00DA3415" w:rsidP="0050679A">
            <w:pPr>
              <w:ind w:left="0"/>
              <w:jc w:val="center"/>
            </w:pPr>
            <w:r>
              <w:t>5</w:t>
            </w:r>
          </w:p>
        </w:tc>
        <w:tc>
          <w:tcPr>
            <w:tcW w:w="1276" w:type="dxa"/>
          </w:tcPr>
          <w:p w14:paraId="33865BBF" w14:textId="144CDB51" w:rsidR="00BD23C4" w:rsidRPr="00C00D1D" w:rsidRDefault="00BD23C4" w:rsidP="00D2027D">
            <w:pPr>
              <w:ind w:left="0"/>
              <w:jc w:val="center"/>
            </w:pPr>
          </w:p>
        </w:tc>
      </w:tr>
      <w:tr w:rsidR="0054185C" w14:paraId="0A486ED7" w14:textId="77777777" w:rsidTr="0091039F">
        <w:trPr>
          <w:trHeight w:val="366"/>
        </w:trPr>
        <w:tc>
          <w:tcPr>
            <w:tcW w:w="1157" w:type="dxa"/>
            <w:vMerge/>
            <w:shd w:val="pct10" w:color="auto" w:fill="auto"/>
          </w:tcPr>
          <w:p w14:paraId="31F36F7A" w14:textId="77777777" w:rsidR="0054185C" w:rsidRPr="00C00D1D" w:rsidRDefault="0054185C" w:rsidP="002C0FF8">
            <w:pPr>
              <w:ind w:left="0"/>
            </w:pPr>
          </w:p>
        </w:tc>
        <w:tc>
          <w:tcPr>
            <w:tcW w:w="1418" w:type="dxa"/>
            <w:vMerge/>
          </w:tcPr>
          <w:p w14:paraId="63086858" w14:textId="77777777" w:rsidR="0054185C" w:rsidRPr="00C00D1D" w:rsidRDefault="0054185C" w:rsidP="002C0FF8">
            <w:pPr>
              <w:ind w:left="0"/>
              <w:jc w:val="center"/>
            </w:pPr>
          </w:p>
        </w:tc>
        <w:tc>
          <w:tcPr>
            <w:tcW w:w="2976" w:type="dxa"/>
          </w:tcPr>
          <w:p w14:paraId="5497EDAE" w14:textId="77777777" w:rsidR="0054185C" w:rsidRPr="00BD23C4" w:rsidRDefault="0054185C" w:rsidP="002C0FF8">
            <w:pPr>
              <w:ind w:left="0"/>
              <w:rPr>
                <w:b/>
              </w:rPr>
            </w:pPr>
          </w:p>
        </w:tc>
        <w:tc>
          <w:tcPr>
            <w:tcW w:w="1305" w:type="dxa"/>
          </w:tcPr>
          <w:p w14:paraId="638613C3" w14:textId="77777777" w:rsidR="0054185C" w:rsidRPr="00133B0E" w:rsidRDefault="0054185C" w:rsidP="002C0FF8">
            <w:pPr>
              <w:ind w:left="0"/>
              <w:jc w:val="center"/>
              <w:rPr>
                <w:b/>
              </w:rPr>
            </w:pPr>
          </w:p>
        </w:tc>
        <w:tc>
          <w:tcPr>
            <w:tcW w:w="5245" w:type="dxa"/>
          </w:tcPr>
          <w:p w14:paraId="29B0FABB" w14:textId="6AABEBB3" w:rsidR="0054185C" w:rsidRDefault="0054185C" w:rsidP="00395E2D">
            <w:pPr>
              <w:ind w:left="0"/>
            </w:pPr>
            <w:r>
              <w:t xml:space="preserve">Evidence of willingness to visit site, and if appointed for project management role RIBA stages 5-7 to pay regular visits to site(specify regularity of such visits) </w:t>
            </w:r>
          </w:p>
        </w:tc>
        <w:tc>
          <w:tcPr>
            <w:tcW w:w="1417" w:type="dxa"/>
          </w:tcPr>
          <w:p w14:paraId="058F9813" w14:textId="13DA3E26" w:rsidR="0054185C" w:rsidRDefault="00DA3415" w:rsidP="0050679A">
            <w:pPr>
              <w:ind w:left="0"/>
              <w:jc w:val="center"/>
            </w:pPr>
            <w:r>
              <w:t>4</w:t>
            </w:r>
          </w:p>
        </w:tc>
        <w:tc>
          <w:tcPr>
            <w:tcW w:w="1276" w:type="dxa"/>
          </w:tcPr>
          <w:p w14:paraId="70C9D6F5" w14:textId="77777777" w:rsidR="0054185C" w:rsidRPr="00C00D1D" w:rsidRDefault="0054185C" w:rsidP="00D2027D">
            <w:pPr>
              <w:ind w:left="0"/>
              <w:jc w:val="center"/>
            </w:pPr>
          </w:p>
        </w:tc>
      </w:tr>
      <w:tr w:rsidR="0060459E" w14:paraId="1949F213" w14:textId="77777777" w:rsidTr="0091039F">
        <w:trPr>
          <w:trHeight w:val="366"/>
        </w:trPr>
        <w:tc>
          <w:tcPr>
            <w:tcW w:w="1157" w:type="dxa"/>
            <w:vMerge/>
            <w:shd w:val="pct10" w:color="auto" w:fill="auto"/>
          </w:tcPr>
          <w:p w14:paraId="2BF128EF" w14:textId="77777777" w:rsidR="0060459E" w:rsidRPr="00C00D1D" w:rsidRDefault="0060459E" w:rsidP="0060459E">
            <w:pPr>
              <w:ind w:left="0"/>
            </w:pPr>
          </w:p>
        </w:tc>
        <w:tc>
          <w:tcPr>
            <w:tcW w:w="1418" w:type="dxa"/>
            <w:vMerge/>
          </w:tcPr>
          <w:p w14:paraId="5DBC1EE1" w14:textId="77777777" w:rsidR="0060459E" w:rsidRPr="00C00D1D" w:rsidRDefault="0060459E" w:rsidP="0060459E">
            <w:pPr>
              <w:ind w:left="0"/>
              <w:jc w:val="center"/>
            </w:pPr>
          </w:p>
        </w:tc>
        <w:tc>
          <w:tcPr>
            <w:tcW w:w="2976" w:type="dxa"/>
          </w:tcPr>
          <w:p w14:paraId="14F99793" w14:textId="77777777" w:rsidR="0060459E" w:rsidRPr="00BD23C4" w:rsidRDefault="0060459E" w:rsidP="0060459E">
            <w:pPr>
              <w:ind w:left="0"/>
              <w:rPr>
                <w:b/>
              </w:rPr>
            </w:pPr>
            <w:r w:rsidRPr="00BD23C4">
              <w:rPr>
                <w:b/>
              </w:rPr>
              <w:t>Programmes of work</w:t>
            </w:r>
          </w:p>
        </w:tc>
        <w:tc>
          <w:tcPr>
            <w:tcW w:w="1305" w:type="dxa"/>
          </w:tcPr>
          <w:p w14:paraId="4638A337" w14:textId="1A0C0ECD" w:rsidR="0060459E" w:rsidRPr="00133B0E" w:rsidRDefault="0060459E" w:rsidP="0060459E">
            <w:pPr>
              <w:ind w:left="0"/>
              <w:jc w:val="center"/>
              <w:rPr>
                <w:b/>
              </w:rPr>
            </w:pPr>
            <w:r>
              <w:rPr>
                <w:b/>
              </w:rPr>
              <w:t>2</w:t>
            </w:r>
            <w:r w:rsidRPr="00133B0E">
              <w:rPr>
                <w:b/>
              </w:rPr>
              <w:t>%</w:t>
            </w:r>
          </w:p>
        </w:tc>
        <w:tc>
          <w:tcPr>
            <w:tcW w:w="5245" w:type="dxa"/>
            <w:tcBorders>
              <w:bottom w:val="single" w:sz="4" w:space="0" w:color="auto"/>
            </w:tcBorders>
          </w:tcPr>
          <w:p w14:paraId="05DA5365" w14:textId="77777777" w:rsidR="0060459E" w:rsidRDefault="0060459E" w:rsidP="0060459E">
            <w:pPr>
              <w:ind w:left="0"/>
            </w:pPr>
            <w:r>
              <w:t>A p</w:t>
            </w:r>
            <w:r w:rsidRPr="00926B42">
              <w:t>rogramme for this project</w:t>
            </w:r>
          </w:p>
        </w:tc>
        <w:tc>
          <w:tcPr>
            <w:tcW w:w="1417" w:type="dxa"/>
            <w:tcBorders>
              <w:bottom w:val="single" w:sz="4" w:space="0" w:color="auto"/>
            </w:tcBorders>
          </w:tcPr>
          <w:p w14:paraId="23BDF813" w14:textId="4ABB1EE1" w:rsidR="0060459E" w:rsidRPr="00C00D1D" w:rsidRDefault="00DA3415" w:rsidP="0060459E">
            <w:pPr>
              <w:ind w:left="0"/>
              <w:jc w:val="center"/>
            </w:pPr>
            <w:r>
              <w:t>2</w:t>
            </w:r>
          </w:p>
        </w:tc>
        <w:tc>
          <w:tcPr>
            <w:tcW w:w="1276" w:type="dxa"/>
            <w:tcBorders>
              <w:bottom w:val="single" w:sz="4" w:space="0" w:color="auto"/>
            </w:tcBorders>
          </w:tcPr>
          <w:p w14:paraId="49E2B516" w14:textId="7D2D67E6" w:rsidR="0060459E" w:rsidRPr="00C00D1D" w:rsidRDefault="0060459E" w:rsidP="0060459E">
            <w:pPr>
              <w:ind w:left="0"/>
              <w:jc w:val="center"/>
            </w:pPr>
          </w:p>
        </w:tc>
      </w:tr>
      <w:tr w:rsidR="0060459E" w14:paraId="6E0273FF" w14:textId="77777777" w:rsidTr="0091039F">
        <w:tc>
          <w:tcPr>
            <w:tcW w:w="1157" w:type="dxa"/>
            <w:vMerge/>
            <w:shd w:val="pct10" w:color="auto" w:fill="auto"/>
          </w:tcPr>
          <w:p w14:paraId="15CCDA10" w14:textId="77777777" w:rsidR="0060459E" w:rsidRPr="00C00D1D" w:rsidRDefault="0060459E" w:rsidP="0060459E">
            <w:pPr>
              <w:ind w:left="0"/>
            </w:pPr>
          </w:p>
        </w:tc>
        <w:tc>
          <w:tcPr>
            <w:tcW w:w="1418" w:type="dxa"/>
            <w:vMerge/>
            <w:shd w:val="clear" w:color="auto" w:fill="auto"/>
          </w:tcPr>
          <w:p w14:paraId="6ED64883" w14:textId="77777777" w:rsidR="0060459E" w:rsidRPr="00C00D1D" w:rsidRDefault="0060459E" w:rsidP="0060459E">
            <w:pPr>
              <w:ind w:left="0"/>
              <w:jc w:val="center"/>
            </w:pPr>
          </w:p>
        </w:tc>
        <w:tc>
          <w:tcPr>
            <w:tcW w:w="2976" w:type="dxa"/>
            <w:vMerge w:val="restart"/>
            <w:tcBorders>
              <w:top w:val="nil"/>
            </w:tcBorders>
            <w:shd w:val="clear" w:color="auto" w:fill="auto"/>
          </w:tcPr>
          <w:p w14:paraId="2DA8CC57" w14:textId="34828104" w:rsidR="0060459E" w:rsidRPr="00BD23C4" w:rsidRDefault="0060459E" w:rsidP="0060459E">
            <w:pPr>
              <w:ind w:left="0"/>
              <w:rPr>
                <w:b/>
              </w:rPr>
            </w:pPr>
            <w:r w:rsidRPr="00BD23C4">
              <w:rPr>
                <w:b/>
              </w:rPr>
              <w:t>Record Keeping</w:t>
            </w:r>
            <w:r>
              <w:rPr>
                <w:b/>
              </w:rPr>
              <w:t xml:space="preserve"> and project control</w:t>
            </w:r>
          </w:p>
        </w:tc>
        <w:tc>
          <w:tcPr>
            <w:tcW w:w="1305" w:type="dxa"/>
            <w:vMerge w:val="restart"/>
            <w:tcBorders>
              <w:top w:val="nil"/>
            </w:tcBorders>
            <w:shd w:val="clear" w:color="auto" w:fill="auto"/>
          </w:tcPr>
          <w:p w14:paraId="3FB3FE19" w14:textId="225B2C8C" w:rsidR="0060459E" w:rsidRPr="00133B0E" w:rsidRDefault="00DA3415" w:rsidP="0060459E">
            <w:pPr>
              <w:ind w:left="0"/>
              <w:jc w:val="center"/>
              <w:rPr>
                <w:b/>
              </w:rPr>
            </w:pPr>
            <w:r>
              <w:rPr>
                <w:b/>
              </w:rPr>
              <w:t>3</w:t>
            </w:r>
            <w:r w:rsidR="0060459E" w:rsidRPr="00133B0E">
              <w:rPr>
                <w:b/>
              </w:rPr>
              <w:t>%</w:t>
            </w:r>
          </w:p>
        </w:tc>
        <w:tc>
          <w:tcPr>
            <w:tcW w:w="5245" w:type="dxa"/>
            <w:shd w:val="clear" w:color="auto" w:fill="auto"/>
          </w:tcPr>
          <w:p w14:paraId="7727CC69" w14:textId="3A1137D5" w:rsidR="0060459E" w:rsidRDefault="0060459E" w:rsidP="0060459E">
            <w:pPr>
              <w:ind w:left="0"/>
            </w:pPr>
            <w:r>
              <w:t>Evidence of adequate weekly records maintained</w:t>
            </w:r>
          </w:p>
        </w:tc>
        <w:tc>
          <w:tcPr>
            <w:tcW w:w="1417" w:type="dxa"/>
            <w:shd w:val="clear" w:color="auto" w:fill="auto"/>
          </w:tcPr>
          <w:p w14:paraId="4CD9D559" w14:textId="17DB037E" w:rsidR="0060459E" w:rsidRPr="00C00D1D" w:rsidRDefault="00DA3415" w:rsidP="0060459E">
            <w:pPr>
              <w:ind w:left="0"/>
              <w:jc w:val="center"/>
            </w:pPr>
            <w:r>
              <w:t>1</w:t>
            </w:r>
          </w:p>
        </w:tc>
        <w:tc>
          <w:tcPr>
            <w:tcW w:w="1276" w:type="dxa"/>
            <w:shd w:val="clear" w:color="auto" w:fill="auto"/>
          </w:tcPr>
          <w:p w14:paraId="5BDAA540" w14:textId="2B9D5DA1" w:rsidR="0060459E" w:rsidRPr="00C00D1D" w:rsidRDefault="0060459E" w:rsidP="0060459E">
            <w:pPr>
              <w:ind w:left="0"/>
              <w:jc w:val="center"/>
            </w:pPr>
          </w:p>
        </w:tc>
      </w:tr>
      <w:tr w:rsidR="0060459E" w14:paraId="73C8DF05" w14:textId="77777777" w:rsidTr="0091039F">
        <w:tc>
          <w:tcPr>
            <w:tcW w:w="1157" w:type="dxa"/>
            <w:vMerge/>
            <w:shd w:val="pct10" w:color="auto" w:fill="auto"/>
          </w:tcPr>
          <w:p w14:paraId="6F28DF1E" w14:textId="77777777" w:rsidR="0060459E" w:rsidRPr="00C00D1D" w:rsidRDefault="0060459E" w:rsidP="0060459E">
            <w:pPr>
              <w:ind w:left="0"/>
            </w:pPr>
          </w:p>
        </w:tc>
        <w:tc>
          <w:tcPr>
            <w:tcW w:w="1418" w:type="dxa"/>
            <w:vMerge/>
            <w:shd w:val="clear" w:color="auto" w:fill="auto"/>
          </w:tcPr>
          <w:p w14:paraId="0E0467E1" w14:textId="77777777" w:rsidR="0060459E" w:rsidRPr="00C00D1D" w:rsidRDefault="0060459E" w:rsidP="0060459E">
            <w:pPr>
              <w:ind w:left="0"/>
              <w:jc w:val="center"/>
            </w:pPr>
          </w:p>
        </w:tc>
        <w:tc>
          <w:tcPr>
            <w:tcW w:w="2976" w:type="dxa"/>
            <w:vMerge/>
            <w:shd w:val="clear" w:color="auto" w:fill="auto"/>
          </w:tcPr>
          <w:p w14:paraId="5A11DE74" w14:textId="77777777" w:rsidR="0060459E" w:rsidRPr="00BD23C4" w:rsidRDefault="0060459E" w:rsidP="0060459E">
            <w:pPr>
              <w:ind w:left="0"/>
              <w:rPr>
                <w:b/>
              </w:rPr>
            </w:pPr>
          </w:p>
        </w:tc>
        <w:tc>
          <w:tcPr>
            <w:tcW w:w="1305" w:type="dxa"/>
            <w:vMerge/>
            <w:shd w:val="clear" w:color="auto" w:fill="auto"/>
          </w:tcPr>
          <w:p w14:paraId="7A8FFF6C" w14:textId="77777777" w:rsidR="0060459E" w:rsidRPr="00133B0E" w:rsidRDefault="0060459E" w:rsidP="0060459E">
            <w:pPr>
              <w:ind w:left="0"/>
              <w:jc w:val="center"/>
              <w:rPr>
                <w:b/>
              </w:rPr>
            </w:pPr>
          </w:p>
        </w:tc>
        <w:tc>
          <w:tcPr>
            <w:tcW w:w="5245" w:type="dxa"/>
            <w:shd w:val="clear" w:color="auto" w:fill="auto"/>
          </w:tcPr>
          <w:p w14:paraId="0146D909" w14:textId="513ECD74" w:rsidR="0060459E" w:rsidRPr="00C00D1D" w:rsidRDefault="00EA19CE" w:rsidP="0060459E">
            <w:pPr>
              <w:ind w:left="0"/>
            </w:pPr>
            <w:r>
              <w:t>Evidence of m</w:t>
            </w:r>
            <w:r w:rsidR="0060459E">
              <w:t>onitoring system in place to check and demonstrate work carried out</w:t>
            </w:r>
          </w:p>
        </w:tc>
        <w:tc>
          <w:tcPr>
            <w:tcW w:w="1417" w:type="dxa"/>
            <w:shd w:val="clear" w:color="auto" w:fill="auto"/>
          </w:tcPr>
          <w:p w14:paraId="1600D90E" w14:textId="51C5434C" w:rsidR="0060459E" w:rsidRPr="00C00D1D" w:rsidRDefault="00DA3415" w:rsidP="0060459E">
            <w:pPr>
              <w:ind w:left="0"/>
              <w:jc w:val="center"/>
            </w:pPr>
            <w:r>
              <w:t>1</w:t>
            </w:r>
          </w:p>
        </w:tc>
        <w:tc>
          <w:tcPr>
            <w:tcW w:w="1276" w:type="dxa"/>
            <w:shd w:val="clear" w:color="auto" w:fill="auto"/>
          </w:tcPr>
          <w:p w14:paraId="3993BD10" w14:textId="4E013047" w:rsidR="0060459E" w:rsidRPr="00C00D1D" w:rsidRDefault="0060459E" w:rsidP="0060459E">
            <w:pPr>
              <w:ind w:left="0"/>
              <w:jc w:val="center"/>
            </w:pPr>
          </w:p>
        </w:tc>
      </w:tr>
      <w:tr w:rsidR="0060459E" w14:paraId="343DBD6E" w14:textId="77777777" w:rsidTr="0091039F">
        <w:tc>
          <w:tcPr>
            <w:tcW w:w="1157" w:type="dxa"/>
            <w:vMerge/>
            <w:shd w:val="pct10" w:color="auto" w:fill="auto"/>
          </w:tcPr>
          <w:p w14:paraId="1740D0D2" w14:textId="77777777" w:rsidR="0060459E" w:rsidRPr="00C00D1D" w:rsidRDefault="0060459E" w:rsidP="0060459E">
            <w:pPr>
              <w:ind w:left="0"/>
            </w:pPr>
          </w:p>
        </w:tc>
        <w:tc>
          <w:tcPr>
            <w:tcW w:w="1418" w:type="dxa"/>
            <w:vMerge/>
            <w:shd w:val="clear" w:color="auto" w:fill="auto"/>
          </w:tcPr>
          <w:p w14:paraId="2C97CAC1" w14:textId="77777777" w:rsidR="0060459E" w:rsidRPr="00C00D1D" w:rsidRDefault="0060459E" w:rsidP="0060459E">
            <w:pPr>
              <w:ind w:left="0"/>
              <w:jc w:val="center"/>
            </w:pPr>
          </w:p>
        </w:tc>
        <w:tc>
          <w:tcPr>
            <w:tcW w:w="2976" w:type="dxa"/>
            <w:shd w:val="clear" w:color="auto" w:fill="auto"/>
          </w:tcPr>
          <w:p w14:paraId="564A0602" w14:textId="77777777" w:rsidR="0060459E" w:rsidRPr="00BD23C4" w:rsidRDefault="0060459E" w:rsidP="0060459E">
            <w:pPr>
              <w:ind w:left="0"/>
              <w:rPr>
                <w:b/>
              </w:rPr>
            </w:pPr>
          </w:p>
        </w:tc>
        <w:tc>
          <w:tcPr>
            <w:tcW w:w="1305" w:type="dxa"/>
            <w:shd w:val="clear" w:color="auto" w:fill="auto"/>
          </w:tcPr>
          <w:p w14:paraId="70D567E5" w14:textId="77777777" w:rsidR="0060459E" w:rsidRPr="00133B0E" w:rsidRDefault="0060459E" w:rsidP="0060459E">
            <w:pPr>
              <w:ind w:left="0"/>
              <w:jc w:val="center"/>
              <w:rPr>
                <w:b/>
              </w:rPr>
            </w:pPr>
          </w:p>
        </w:tc>
        <w:tc>
          <w:tcPr>
            <w:tcW w:w="5245" w:type="dxa"/>
            <w:shd w:val="clear" w:color="auto" w:fill="auto"/>
          </w:tcPr>
          <w:p w14:paraId="45FFAEFB" w14:textId="5063E371" w:rsidR="0060459E" w:rsidRDefault="0060459E" w:rsidP="0060459E">
            <w:pPr>
              <w:ind w:left="0"/>
            </w:pPr>
            <w:r w:rsidRPr="00926B42">
              <w:t>Management of information</w:t>
            </w:r>
            <w:r>
              <w:t xml:space="preserve"> – evidence of processes for sharing information with client</w:t>
            </w:r>
          </w:p>
        </w:tc>
        <w:tc>
          <w:tcPr>
            <w:tcW w:w="1417" w:type="dxa"/>
            <w:shd w:val="clear" w:color="auto" w:fill="auto"/>
          </w:tcPr>
          <w:p w14:paraId="7CE8B782" w14:textId="5FA90D91" w:rsidR="0060459E" w:rsidRDefault="00DA3415" w:rsidP="0060459E">
            <w:pPr>
              <w:ind w:left="0"/>
              <w:jc w:val="center"/>
            </w:pPr>
            <w:r>
              <w:t>1</w:t>
            </w:r>
          </w:p>
        </w:tc>
        <w:tc>
          <w:tcPr>
            <w:tcW w:w="1276" w:type="dxa"/>
            <w:shd w:val="clear" w:color="auto" w:fill="auto"/>
          </w:tcPr>
          <w:p w14:paraId="06D4FEC0" w14:textId="580B44D5" w:rsidR="0060459E" w:rsidRDefault="0060459E" w:rsidP="0060459E">
            <w:pPr>
              <w:ind w:left="0"/>
              <w:jc w:val="center"/>
            </w:pPr>
          </w:p>
        </w:tc>
      </w:tr>
      <w:tr w:rsidR="0060459E" w:rsidRPr="00FD27DD" w14:paraId="5CB7ADC8" w14:textId="77777777" w:rsidTr="0091039F">
        <w:tc>
          <w:tcPr>
            <w:tcW w:w="1157" w:type="dxa"/>
            <w:shd w:val="pct10" w:color="auto" w:fill="auto"/>
          </w:tcPr>
          <w:p w14:paraId="53DBA4C6" w14:textId="77777777" w:rsidR="0060459E" w:rsidRPr="00FD27DD" w:rsidRDefault="0060459E" w:rsidP="0060459E">
            <w:pPr>
              <w:ind w:left="0"/>
              <w:rPr>
                <w:b/>
              </w:rPr>
            </w:pPr>
          </w:p>
        </w:tc>
        <w:tc>
          <w:tcPr>
            <w:tcW w:w="1418" w:type="dxa"/>
            <w:shd w:val="pct10" w:color="auto" w:fill="auto"/>
          </w:tcPr>
          <w:p w14:paraId="2C4D222A" w14:textId="77777777" w:rsidR="0060459E" w:rsidRPr="00FD27DD" w:rsidRDefault="0060459E" w:rsidP="0060459E">
            <w:pPr>
              <w:ind w:left="0"/>
              <w:jc w:val="center"/>
              <w:rPr>
                <w:b/>
              </w:rPr>
            </w:pPr>
          </w:p>
        </w:tc>
        <w:tc>
          <w:tcPr>
            <w:tcW w:w="2976" w:type="dxa"/>
            <w:shd w:val="pct10" w:color="auto" w:fill="auto"/>
          </w:tcPr>
          <w:p w14:paraId="26245DC1" w14:textId="77777777" w:rsidR="0060459E" w:rsidRPr="00FD27DD" w:rsidRDefault="0060459E" w:rsidP="0060459E">
            <w:pPr>
              <w:ind w:left="0"/>
              <w:rPr>
                <w:b/>
              </w:rPr>
            </w:pPr>
          </w:p>
        </w:tc>
        <w:tc>
          <w:tcPr>
            <w:tcW w:w="1305" w:type="dxa"/>
            <w:shd w:val="pct10" w:color="auto" w:fill="auto"/>
          </w:tcPr>
          <w:p w14:paraId="5C2D8D4D" w14:textId="523036B5" w:rsidR="0060459E" w:rsidRPr="00F601E0" w:rsidRDefault="0060459E" w:rsidP="0060459E">
            <w:pPr>
              <w:ind w:left="0"/>
              <w:jc w:val="center"/>
              <w:rPr>
                <w:bCs/>
              </w:rPr>
            </w:pPr>
            <w:r w:rsidRPr="00F601E0">
              <w:rPr>
                <w:bCs/>
              </w:rPr>
              <w:t>60%</w:t>
            </w:r>
          </w:p>
        </w:tc>
        <w:tc>
          <w:tcPr>
            <w:tcW w:w="5245" w:type="dxa"/>
            <w:shd w:val="pct10" w:color="auto" w:fill="auto"/>
          </w:tcPr>
          <w:p w14:paraId="5A92BB28" w14:textId="02F18B15" w:rsidR="0060459E" w:rsidRPr="00F601E0" w:rsidRDefault="00F601E0" w:rsidP="0060459E">
            <w:pPr>
              <w:ind w:left="0"/>
              <w:rPr>
                <w:bCs/>
              </w:rPr>
            </w:pPr>
            <w:r w:rsidRPr="00F601E0">
              <w:rPr>
                <w:bCs/>
              </w:rPr>
              <w:t>TOTAL POINTS QUALITY</w:t>
            </w:r>
          </w:p>
        </w:tc>
        <w:tc>
          <w:tcPr>
            <w:tcW w:w="1417" w:type="dxa"/>
            <w:shd w:val="pct10" w:color="auto" w:fill="auto"/>
          </w:tcPr>
          <w:p w14:paraId="4A22D4DB" w14:textId="4E09AF9B" w:rsidR="0060459E" w:rsidRPr="00FD27DD" w:rsidRDefault="0060459E" w:rsidP="0060459E">
            <w:pPr>
              <w:ind w:left="0"/>
              <w:jc w:val="center"/>
              <w:rPr>
                <w:b/>
              </w:rPr>
            </w:pPr>
          </w:p>
        </w:tc>
        <w:tc>
          <w:tcPr>
            <w:tcW w:w="1276" w:type="dxa"/>
            <w:shd w:val="pct10" w:color="auto" w:fill="auto"/>
          </w:tcPr>
          <w:p w14:paraId="354CC1E8" w14:textId="64A2B4EF" w:rsidR="0060459E" w:rsidRPr="00F601E0" w:rsidRDefault="00F601E0" w:rsidP="0060459E">
            <w:pPr>
              <w:ind w:left="0"/>
              <w:jc w:val="center"/>
              <w:rPr>
                <w:bCs/>
              </w:rPr>
            </w:pPr>
            <w:r w:rsidRPr="00F601E0">
              <w:rPr>
                <w:bCs/>
              </w:rPr>
              <w:t>60 points</w:t>
            </w:r>
          </w:p>
        </w:tc>
      </w:tr>
      <w:tr w:rsidR="00F601E0" w:rsidRPr="00FD27DD" w14:paraId="16292255" w14:textId="77777777" w:rsidTr="0091039F">
        <w:tc>
          <w:tcPr>
            <w:tcW w:w="1157" w:type="dxa"/>
            <w:shd w:val="clear" w:color="auto" w:fill="DAEEF3" w:themeFill="accent5" w:themeFillTint="33"/>
          </w:tcPr>
          <w:p w14:paraId="3CFFABBF" w14:textId="77777777" w:rsidR="00F601E0" w:rsidRPr="00FD27DD" w:rsidRDefault="00F601E0" w:rsidP="0060459E">
            <w:pPr>
              <w:ind w:left="0"/>
              <w:rPr>
                <w:b/>
              </w:rPr>
            </w:pPr>
          </w:p>
        </w:tc>
        <w:tc>
          <w:tcPr>
            <w:tcW w:w="1418" w:type="dxa"/>
            <w:shd w:val="clear" w:color="auto" w:fill="DAEEF3" w:themeFill="accent5" w:themeFillTint="33"/>
          </w:tcPr>
          <w:p w14:paraId="376CA603" w14:textId="77777777" w:rsidR="00F601E0" w:rsidRPr="00FD27DD" w:rsidRDefault="00F601E0" w:rsidP="0060459E">
            <w:pPr>
              <w:ind w:left="0"/>
              <w:jc w:val="center"/>
              <w:rPr>
                <w:b/>
              </w:rPr>
            </w:pPr>
          </w:p>
        </w:tc>
        <w:tc>
          <w:tcPr>
            <w:tcW w:w="2976" w:type="dxa"/>
            <w:shd w:val="clear" w:color="auto" w:fill="DAEEF3" w:themeFill="accent5" w:themeFillTint="33"/>
          </w:tcPr>
          <w:p w14:paraId="5E29A2F2" w14:textId="1B83672B" w:rsidR="00F601E0" w:rsidRPr="00FD27DD" w:rsidRDefault="00F601E0" w:rsidP="0060459E">
            <w:pPr>
              <w:ind w:left="0"/>
              <w:rPr>
                <w:b/>
              </w:rPr>
            </w:pPr>
          </w:p>
        </w:tc>
        <w:tc>
          <w:tcPr>
            <w:tcW w:w="1305" w:type="dxa"/>
            <w:shd w:val="clear" w:color="auto" w:fill="DAEEF3" w:themeFill="accent5" w:themeFillTint="33"/>
          </w:tcPr>
          <w:p w14:paraId="7E5D004B" w14:textId="63630979" w:rsidR="00F601E0" w:rsidRDefault="00F601E0" w:rsidP="0060459E">
            <w:pPr>
              <w:ind w:left="0"/>
              <w:jc w:val="center"/>
              <w:rPr>
                <w:b/>
              </w:rPr>
            </w:pPr>
            <w:r>
              <w:rPr>
                <w:b/>
              </w:rPr>
              <w:t>100%</w:t>
            </w:r>
          </w:p>
        </w:tc>
        <w:tc>
          <w:tcPr>
            <w:tcW w:w="5245" w:type="dxa"/>
            <w:shd w:val="clear" w:color="auto" w:fill="DAEEF3" w:themeFill="accent5" w:themeFillTint="33"/>
          </w:tcPr>
          <w:p w14:paraId="50E12A0B" w14:textId="4BF990B0" w:rsidR="00F601E0" w:rsidRPr="00FD27DD" w:rsidRDefault="00F601E0" w:rsidP="0060459E">
            <w:pPr>
              <w:ind w:left="0"/>
              <w:rPr>
                <w:b/>
              </w:rPr>
            </w:pPr>
            <w:r>
              <w:rPr>
                <w:b/>
              </w:rPr>
              <w:t>TOTAL OF COST AND QUALITY SCORES</w:t>
            </w:r>
          </w:p>
        </w:tc>
        <w:tc>
          <w:tcPr>
            <w:tcW w:w="1417" w:type="dxa"/>
            <w:shd w:val="clear" w:color="auto" w:fill="DAEEF3" w:themeFill="accent5" w:themeFillTint="33"/>
          </w:tcPr>
          <w:p w14:paraId="6916B7F1" w14:textId="77777777" w:rsidR="00F601E0" w:rsidRDefault="00F601E0" w:rsidP="0060459E">
            <w:pPr>
              <w:ind w:left="0"/>
              <w:jc w:val="center"/>
              <w:rPr>
                <w:b/>
              </w:rPr>
            </w:pPr>
          </w:p>
        </w:tc>
        <w:tc>
          <w:tcPr>
            <w:tcW w:w="1276" w:type="dxa"/>
            <w:shd w:val="clear" w:color="auto" w:fill="DAEEF3" w:themeFill="accent5" w:themeFillTint="33"/>
          </w:tcPr>
          <w:p w14:paraId="279B917D" w14:textId="7F41930B" w:rsidR="00F601E0" w:rsidRDefault="00F601E0" w:rsidP="0060459E">
            <w:pPr>
              <w:ind w:left="0"/>
              <w:jc w:val="center"/>
              <w:rPr>
                <w:b/>
              </w:rPr>
            </w:pPr>
            <w:r>
              <w:rPr>
                <w:b/>
              </w:rPr>
              <w:t xml:space="preserve">100 points </w:t>
            </w:r>
          </w:p>
        </w:tc>
      </w:tr>
    </w:tbl>
    <w:p w14:paraId="1371571E" w14:textId="1B769CCD" w:rsidR="006E599C" w:rsidRDefault="0091039F" w:rsidP="00146CA1">
      <w:pPr>
        <w:ind w:left="0"/>
        <w:rPr>
          <w:b/>
        </w:rPr>
      </w:pPr>
      <w:r>
        <w:rPr>
          <w:b/>
        </w:rPr>
        <w:t xml:space="preserve">    </w:t>
      </w:r>
      <w:r w:rsidR="006E599C">
        <w:t>* Most Advantageous Tender (MAT).</w:t>
      </w:r>
    </w:p>
    <w:p w14:paraId="7E27CC52" w14:textId="26625EA9" w:rsidR="00A91F80" w:rsidRDefault="00F601E0" w:rsidP="00146CA1">
      <w:pPr>
        <w:ind w:left="0"/>
      </w:pPr>
      <w:r>
        <w:t xml:space="preserve">100 points are allocated across the tender.  40 </w:t>
      </w:r>
      <w:r w:rsidR="00132D21">
        <w:t xml:space="preserve">points </w:t>
      </w:r>
      <w:r>
        <w:t xml:space="preserve">are allocated to cost, and 60 points are allocated to quality. </w:t>
      </w:r>
    </w:p>
    <w:p w14:paraId="57D66F5B" w14:textId="76AB9483" w:rsidR="00A91F80" w:rsidRDefault="00F601E0" w:rsidP="00146CA1">
      <w:pPr>
        <w:ind w:left="0"/>
      </w:pPr>
      <w:r>
        <w:t xml:space="preserve">The bidder with the lowest price will receive 40 points for cost. Bidders with higher prices will receive a percentage lower than 40, based on the percentage by which their bid is higher than the lowest bidder.  E.g. if the bidder with the second lowest bid is 10% higher in price than the lowest bid, 10% of points will be deducted from the top possible score of 40.  </w:t>
      </w:r>
      <w:r w:rsidR="00146CA1">
        <w:t xml:space="preserve">Ensure that the price includes an estimated cost for all site surveys that may be needed to achieve planning approval.   Indicate on your bid what that estimated cost is, and what surveys you have included.   </w:t>
      </w:r>
      <w:r>
        <w:t xml:space="preserve"> </w:t>
      </w:r>
    </w:p>
    <w:p w14:paraId="107CEA3A" w14:textId="77777777" w:rsidR="00146CA1" w:rsidRDefault="00EA19CE" w:rsidP="00146CA1">
      <w:pPr>
        <w:ind w:left="0"/>
      </w:pPr>
      <w:r>
        <w:t xml:space="preserve">** Evidence of Quality.  </w:t>
      </w:r>
    </w:p>
    <w:p w14:paraId="6A5E1D41" w14:textId="2F6D55AF" w:rsidR="0091039F" w:rsidRDefault="00EA19CE" w:rsidP="00146CA1">
      <w:pPr>
        <w:ind w:left="0"/>
      </w:pPr>
      <w:r>
        <w:t xml:space="preserve">It is insufficient to simply assert that quality is taking place.  Proof must be provided in the form of existing processes and procedures or work methods to demonstrate how Quality </w:t>
      </w:r>
      <w:r w:rsidR="0091039F">
        <w:t xml:space="preserve">of service </w:t>
      </w:r>
      <w:r>
        <w:t>is being managed.</w:t>
      </w:r>
    </w:p>
    <w:p w14:paraId="149699AB" w14:textId="66172844" w:rsidR="0091039F" w:rsidRDefault="0091039F" w:rsidP="00146CA1">
      <w:pPr>
        <w:ind w:left="0"/>
      </w:pPr>
      <w:r>
        <w:t xml:space="preserve">*** Comparisons between total number of hours allocated to this project will be made, and for those quoting lower number of hours, price will be adjusted accordingly on a sliding scale. It is therefore beneficial to those bidders allocating a significant number of hours to this project. Additional hours </w:t>
      </w:r>
      <w:r w:rsidR="00146CA1">
        <w:t xml:space="preserve">used to achieve results </w:t>
      </w:r>
      <w:r>
        <w:t xml:space="preserve">over those bid for in this </w:t>
      </w:r>
      <w:r w:rsidR="00146CA1">
        <w:t>tender</w:t>
      </w:r>
      <w:r>
        <w:t xml:space="preserve"> will not be paid for.  </w:t>
      </w:r>
      <w:r w:rsidR="00146CA1">
        <w:t xml:space="preserve">Ensure that sufficient hours are included to make a pre-planning application, and if necessary to resubmit plans to achieve a successful planning outcome.   </w:t>
      </w:r>
      <w:r>
        <w:t xml:space="preserve">    </w:t>
      </w:r>
    </w:p>
    <w:p w14:paraId="21A8D2E9" w14:textId="3BC75D96" w:rsidR="0076375A" w:rsidRDefault="00EA19CE">
      <w:r>
        <w:t xml:space="preserve">  </w:t>
      </w:r>
    </w:p>
    <w:p w14:paraId="7D9499EE" w14:textId="77777777" w:rsidR="0091039F" w:rsidRDefault="0091039F"/>
    <w:p w14:paraId="4C547454" w14:textId="77777777" w:rsidR="0076375A" w:rsidRDefault="0076375A"/>
    <w:p w14:paraId="5EFF9B3F" w14:textId="77777777" w:rsidR="00926B42" w:rsidRDefault="00926B42" w:rsidP="00926B42"/>
    <w:p w14:paraId="0EF3ACD6" w14:textId="77777777" w:rsidR="00926B42" w:rsidRDefault="00926B42" w:rsidP="00926B42"/>
    <w:p w14:paraId="353A4544" w14:textId="77777777" w:rsidR="00926B42" w:rsidRDefault="00926B42" w:rsidP="00926B42"/>
    <w:p w14:paraId="17800C09" w14:textId="77777777" w:rsidR="00322C2B" w:rsidRDefault="00322C2B">
      <w:pPr>
        <w:rPr>
          <w:b/>
        </w:rPr>
      </w:pPr>
    </w:p>
    <w:p w14:paraId="265A6FF1" w14:textId="77777777" w:rsidR="006C2F94" w:rsidRDefault="006C2F94">
      <w:pPr>
        <w:rPr>
          <w:b/>
        </w:rPr>
      </w:pPr>
    </w:p>
    <w:p w14:paraId="76852CA4" w14:textId="77777777" w:rsidR="006C2F94" w:rsidRDefault="006C2F94">
      <w:pPr>
        <w:rPr>
          <w:b/>
        </w:rPr>
      </w:pPr>
    </w:p>
    <w:sectPr w:rsidR="006C2F94" w:rsidSect="00146CA1">
      <w:headerReference w:type="default" r:id="rId7"/>
      <w:pgSz w:w="16838" w:h="11906" w:orient="landscape"/>
      <w:pgMar w:top="720" w:right="720" w:bottom="720" w:left="72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B644" w14:textId="77777777" w:rsidR="002A28AF" w:rsidRDefault="002A28AF" w:rsidP="0076375A">
      <w:r>
        <w:separator/>
      </w:r>
    </w:p>
  </w:endnote>
  <w:endnote w:type="continuationSeparator" w:id="0">
    <w:p w14:paraId="62D192A3" w14:textId="77777777" w:rsidR="002A28AF" w:rsidRDefault="002A28AF" w:rsidP="0076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92DF" w14:textId="77777777" w:rsidR="002A28AF" w:rsidRDefault="002A28AF" w:rsidP="0076375A">
      <w:r>
        <w:separator/>
      </w:r>
    </w:p>
  </w:footnote>
  <w:footnote w:type="continuationSeparator" w:id="0">
    <w:p w14:paraId="096F929D" w14:textId="77777777" w:rsidR="002A28AF" w:rsidRDefault="002A28AF" w:rsidP="0076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FB58" w14:textId="13E1B90C" w:rsidR="00EA19CE" w:rsidRDefault="009132E9" w:rsidP="006F04EF">
    <w:pPr>
      <w:pStyle w:val="Header"/>
      <w:jc w:val="center"/>
      <w:rPr>
        <w:i/>
        <w:sz w:val="22"/>
        <w:szCs w:val="22"/>
      </w:rPr>
    </w:pPr>
    <w:r w:rsidRPr="009132E9">
      <w:rPr>
        <w:i/>
        <w:szCs w:val="22"/>
      </w:rPr>
      <w:t>Newport Pagnell</w:t>
    </w:r>
    <w:r>
      <w:rPr>
        <w:i/>
        <w:szCs w:val="22"/>
      </w:rPr>
      <w:t xml:space="preserve"> Town</w:t>
    </w:r>
    <w:r w:rsidR="00F32807" w:rsidRPr="00715415">
      <w:rPr>
        <w:i/>
        <w:szCs w:val="22"/>
      </w:rPr>
      <w:t xml:space="preserve"> Council</w:t>
    </w:r>
    <w:r w:rsidR="00C03F9B" w:rsidRPr="008A4C8B">
      <w:rPr>
        <w:i/>
        <w:sz w:val="22"/>
        <w:szCs w:val="22"/>
      </w:rPr>
      <w:t>.</w:t>
    </w:r>
    <w:r w:rsidR="00C03F9B">
      <w:rPr>
        <w:rFonts w:cs="Times New Roman"/>
        <w:i/>
        <w:sz w:val="22"/>
        <w:szCs w:val="22"/>
      </w:rPr>
      <w:tab/>
    </w:r>
    <w:r w:rsidR="00C03F9B" w:rsidRPr="006F107D">
      <w:rPr>
        <w:i/>
        <w:sz w:val="22"/>
        <w:szCs w:val="22"/>
      </w:rPr>
      <w:t xml:space="preserve">     </w:t>
    </w:r>
    <w:r w:rsidR="00E142EB">
      <w:rPr>
        <w:bCs/>
        <w:i/>
        <w:szCs w:val="22"/>
      </w:rPr>
      <w:t xml:space="preserve">Tender Evaluation Matrix </w:t>
    </w:r>
    <w:r w:rsidR="00C03F9B" w:rsidRPr="00307985">
      <w:rPr>
        <w:rFonts w:cs="Times New Roman"/>
        <w:i/>
        <w:sz w:val="22"/>
        <w:szCs w:val="22"/>
      </w:rPr>
      <w:t xml:space="preserve"> </w:t>
    </w:r>
    <w:r w:rsidR="00C03F9B">
      <w:rPr>
        <w:rFonts w:cs="Times New Roman"/>
        <w:i/>
        <w:sz w:val="22"/>
        <w:szCs w:val="22"/>
      </w:rPr>
      <w:tab/>
    </w:r>
    <w:r w:rsidR="00E142EB">
      <w:rPr>
        <w:rFonts w:cs="Times New Roman"/>
        <w:i/>
        <w:sz w:val="22"/>
        <w:szCs w:val="22"/>
      </w:rPr>
      <w:t>May</w:t>
    </w:r>
    <w:r w:rsidR="006C2F94">
      <w:rPr>
        <w:rFonts w:cs="Times New Roman"/>
        <w:i/>
        <w:sz w:val="22"/>
        <w:szCs w:val="22"/>
      </w:rPr>
      <w:t xml:space="preserve"> 202</w:t>
    </w:r>
    <w:r w:rsidR="00E142EB">
      <w:rPr>
        <w:rFonts w:cs="Times New Roman"/>
        <w:i/>
        <w:sz w:val="22"/>
        <w:szCs w:val="22"/>
      </w:rPr>
      <w:t>5</w:t>
    </w:r>
    <w:r w:rsidR="0076375A" w:rsidRPr="008A4C8B">
      <w:rPr>
        <w:i/>
      </w:rPr>
      <w:tab/>
    </w:r>
    <w:r w:rsidR="0076375A" w:rsidRPr="006F107D">
      <w:rPr>
        <w:i/>
        <w:sz w:val="22"/>
        <w:szCs w:val="22"/>
      </w:rPr>
      <w:t xml:space="preserve"> </w:t>
    </w:r>
  </w:p>
  <w:p w14:paraId="3F174523" w14:textId="2414F501" w:rsidR="0076375A" w:rsidRPr="00EA19CE" w:rsidRDefault="00EA19CE" w:rsidP="006F04EF">
    <w:pPr>
      <w:pStyle w:val="Header"/>
      <w:jc w:val="center"/>
      <w:rPr>
        <w:b/>
        <w:bCs/>
        <w:iCs/>
      </w:rPr>
    </w:pPr>
    <w:r w:rsidRPr="00EA19CE">
      <w:rPr>
        <w:b/>
        <w:bCs/>
        <w:iCs/>
        <w:szCs w:val="22"/>
      </w:rPr>
      <w:t>APPENDIX A</w:t>
    </w:r>
    <w:r w:rsidR="0076375A" w:rsidRPr="00EA19CE">
      <w:rPr>
        <w:b/>
        <w:bCs/>
        <w:iCs/>
        <w:sz w:val="22"/>
        <w:szCs w:val="22"/>
      </w:rPr>
      <w:t xml:space="preserve">    </w:t>
    </w:r>
  </w:p>
  <w:p w14:paraId="7AC4171E" w14:textId="77777777" w:rsidR="0076375A" w:rsidRDefault="0076375A">
    <w:pPr>
      <w:pStyle w:val="Header"/>
    </w:pPr>
  </w:p>
  <w:p w14:paraId="4FB7DE12" w14:textId="77777777" w:rsidR="0076375A" w:rsidRDefault="00763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335"/>
    <w:multiLevelType w:val="hybridMultilevel"/>
    <w:tmpl w:val="884C5EA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16cid:durableId="113475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5"/>
    <w:rsid w:val="00011D86"/>
    <w:rsid w:val="00056AB0"/>
    <w:rsid w:val="000D79E3"/>
    <w:rsid w:val="000E6B31"/>
    <w:rsid w:val="00132D21"/>
    <w:rsid w:val="00133B0E"/>
    <w:rsid w:val="00146CA1"/>
    <w:rsid w:val="001621B8"/>
    <w:rsid w:val="001C084B"/>
    <w:rsid w:val="001D2298"/>
    <w:rsid w:val="00247F0E"/>
    <w:rsid w:val="002765DE"/>
    <w:rsid w:val="002824A0"/>
    <w:rsid w:val="00293D7B"/>
    <w:rsid w:val="002A28AF"/>
    <w:rsid w:val="002D1A94"/>
    <w:rsid w:val="002E05A4"/>
    <w:rsid w:val="00313DA8"/>
    <w:rsid w:val="00322C2B"/>
    <w:rsid w:val="00323B51"/>
    <w:rsid w:val="0038517D"/>
    <w:rsid w:val="00395E2D"/>
    <w:rsid w:val="003B5EDF"/>
    <w:rsid w:val="00420722"/>
    <w:rsid w:val="00474C8A"/>
    <w:rsid w:val="004803E1"/>
    <w:rsid w:val="004806EF"/>
    <w:rsid w:val="00482570"/>
    <w:rsid w:val="004E6405"/>
    <w:rsid w:val="0051390B"/>
    <w:rsid w:val="0053337D"/>
    <w:rsid w:val="0054185C"/>
    <w:rsid w:val="005D3227"/>
    <w:rsid w:val="00602EFA"/>
    <w:rsid w:val="0060459E"/>
    <w:rsid w:val="0063051C"/>
    <w:rsid w:val="00631096"/>
    <w:rsid w:val="00653D04"/>
    <w:rsid w:val="00656F01"/>
    <w:rsid w:val="006708B6"/>
    <w:rsid w:val="00683DC3"/>
    <w:rsid w:val="006A0985"/>
    <w:rsid w:val="006A25E8"/>
    <w:rsid w:val="006C2F94"/>
    <w:rsid w:val="006C6F4B"/>
    <w:rsid w:val="006D5E23"/>
    <w:rsid w:val="006E599C"/>
    <w:rsid w:val="006F04EF"/>
    <w:rsid w:val="007257E5"/>
    <w:rsid w:val="00736546"/>
    <w:rsid w:val="00756AE7"/>
    <w:rsid w:val="0076375A"/>
    <w:rsid w:val="007C66F5"/>
    <w:rsid w:val="00800FF5"/>
    <w:rsid w:val="00807D6E"/>
    <w:rsid w:val="00856351"/>
    <w:rsid w:val="00883103"/>
    <w:rsid w:val="0088640B"/>
    <w:rsid w:val="008929FF"/>
    <w:rsid w:val="00892B17"/>
    <w:rsid w:val="008D07B6"/>
    <w:rsid w:val="008D2C5A"/>
    <w:rsid w:val="0091039F"/>
    <w:rsid w:val="009132E9"/>
    <w:rsid w:val="00926549"/>
    <w:rsid w:val="00926B42"/>
    <w:rsid w:val="009D773C"/>
    <w:rsid w:val="00A33669"/>
    <w:rsid w:val="00A54844"/>
    <w:rsid w:val="00A662F8"/>
    <w:rsid w:val="00A76AB0"/>
    <w:rsid w:val="00A91F80"/>
    <w:rsid w:val="00AA103D"/>
    <w:rsid w:val="00AA21C0"/>
    <w:rsid w:val="00AE0E8F"/>
    <w:rsid w:val="00B02D61"/>
    <w:rsid w:val="00B65E6B"/>
    <w:rsid w:val="00B73CE4"/>
    <w:rsid w:val="00BA2F47"/>
    <w:rsid w:val="00BD23C4"/>
    <w:rsid w:val="00C00D1D"/>
    <w:rsid w:val="00C03F9B"/>
    <w:rsid w:val="00C130C0"/>
    <w:rsid w:val="00C91FAD"/>
    <w:rsid w:val="00CA4DD0"/>
    <w:rsid w:val="00CA5283"/>
    <w:rsid w:val="00CD2370"/>
    <w:rsid w:val="00CE1C92"/>
    <w:rsid w:val="00CF0C1C"/>
    <w:rsid w:val="00D15D55"/>
    <w:rsid w:val="00D2027D"/>
    <w:rsid w:val="00D36DF5"/>
    <w:rsid w:val="00D42BD6"/>
    <w:rsid w:val="00D61A55"/>
    <w:rsid w:val="00DA3415"/>
    <w:rsid w:val="00DF18E0"/>
    <w:rsid w:val="00E142EB"/>
    <w:rsid w:val="00E32D9A"/>
    <w:rsid w:val="00E97FF0"/>
    <w:rsid w:val="00EA19CE"/>
    <w:rsid w:val="00EB1D5C"/>
    <w:rsid w:val="00EC1A5A"/>
    <w:rsid w:val="00EC5107"/>
    <w:rsid w:val="00EE199A"/>
    <w:rsid w:val="00EF270E"/>
    <w:rsid w:val="00F32807"/>
    <w:rsid w:val="00F601E0"/>
    <w:rsid w:val="00FA5E5B"/>
    <w:rsid w:val="00FB21BE"/>
    <w:rsid w:val="00FB5254"/>
    <w:rsid w:val="00FD2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6A7B"/>
  <w15:docId w15:val="{F29BF264-03DF-46D1-84A3-2F7E4490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ind w:left="227" w:right="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5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375A"/>
    <w:pPr>
      <w:tabs>
        <w:tab w:val="center" w:pos="4513"/>
        <w:tab w:val="right" w:pos="9026"/>
      </w:tabs>
    </w:pPr>
  </w:style>
  <w:style w:type="character" w:customStyle="1" w:styleId="HeaderChar">
    <w:name w:val="Header Char"/>
    <w:basedOn w:val="DefaultParagraphFont"/>
    <w:link w:val="Header"/>
    <w:uiPriority w:val="99"/>
    <w:rsid w:val="0076375A"/>
  </w:style>
  <w:style w:type="paragraph" w:styleId="Footer">
    <w:name w:val="footer"/>
    <w:basedOn w:val="Normal"/>
    <w:link w:val="FooterChar"/>
    <w:uiPriority w:val="99"/>
    <w:unhideWhenUsed/>
    <w:rsid w:val="0076375A"/>
    <w:pPr>
      <w:tabs>
        <w:tab w:val="center" w:pos="4513"/>
        <w:tab w:val="right" w:pos="9026"/>
      </w:tabs>
    </w:pPr>
  </w:style>
  <w:style w:type="character" w:customStyle="1" w:styleId="FooterChar">
    <w:name w:val="Footer Char"/>
    <w:basedOn w:val="DefaultParagraphFont"/>
    <w:link w:val="Footer"/>
    <w:uiPriority w:val="99"/>
    <w:rsid w:val="0076375A"/>
  </w:style>
  <w:style w:type="paragraph" w:styleId="BalloonText">
    <w:name w:val="Balloon Text"/>
    <w:basedOn w:val="Normal"/>
    <w:link w:val="BalloonTextChar"/>
    <w:uiPriority w:val="99"/>
    <w:semiHidden/>
    <w:unhideWhenUsed/>
    <w:rsid w:val="0076375A"/>
    <w:rPr>
      <w:rFonts w:ascii="Tahoma" w:hAnsi="Tahoma" w:cs="Tahoma"/>
      <w:sz w:val="16"/>
      <w:szCs w:val="16"/>
    </w:rPr>
  </w:style>
  <w:style w:type="character" w:customStyle="1" w:styleId="BalloonTextChar">
    <w:name w:val="Balloon Text Char"/>
    <w:basedOn w:val="DefaultParagraphFont"/>
    <w:link w:val="BalloonText"/>
    <w:uiPriority w:val="99"/>
    <w:semiHidden/>
    <w:rsid w:val="0076375A"/>
    <w:rPr>
      <w:rFonts w:ascii="Tahoma" w:hAnsi="Tahoma" w:cs="Tahoma"/>
      <w:sz w:val="16"/>
      <w:szCs w:val="16"/>
    </w:rPr>
  </w:style>
  <w:style w:type="paragraph" w:styleId="ListParagraph">
    <w:name w:val="List Paragraph"/>
    <w:basedOn w:val="Normal"/>
    <w:uiPriority w:val="34"/>
    <w:qFormat/>
    <w:rsid w:val="002765DE"/>
    <w:pPr>
      <w:ind w:left="720"/>
      <w:contextualSpacing/>
    </w:pPr>
  </w:style>
  <w:style w:type="character" w:customStyle="1" w:styleId="pel">
    <w:name w:val="_pe_l"/>
    <w:basedOn w:val="DefaultParagraphFont"/>
    <w:rsid w:val="0088640B"/>
  </w:style>
  <w:style w:type="character" w:customStyle="1" w:styleId="bidi">
    <w:name w:val="bidi"/>
    <w:basedOn w:val="DefaultParagraphFont"/>
    <w:rsid w:val="0088640B"/>
  </w:style>
  <w:style w:type="character" w:customStyle="1" w:styleId="rpk1">
    <w:name w:val="_rp_k1"/>
    <w:basedOn w:val="DefaultParagraphFont"/>
    <w:rsid w:val="0088640B"/>
  </w:style>
  <w:style w:type="character" w:customStyle="1" w:styleId="rpu1">
    <w:name w:val="_rp_u1"/>
    <w:basedOn w:val="DefaultParagraphFont"/>
    <w:rsid w:val="0088640B"/>
  </w:style>
  <w:style w:type="character" w:customStyle="1" w:styleId="allowtextselection">
    <w:name w:val="allowtextselection"/>
    <w:basedOn w:val="DefaultParagraphFont"/>
    <w:rsid w:val="0088640B"/>
  </w:style>
  <w:style w:type="character" w:customStyle="1" w:styleId="ms-font-color-neutralsecondary">
    <w:name w:val="ms-font-color-neutralsecondary"/>
    <w:basedOn w:val="DefaultParagraphFont"/>
    <w:rsid w:val="0088640B"/>
  </w:style>
  <w:style w:type="character" w:styleId="Hyperlink">
    <w:name w:val="Hyperlink"/>
    <w:basedOn w:val="DefaultParagraphFont"/>
    <w:uiPriority w:val="99"/>
    <w:unhideWhenUsed/>
    <w:rsid w:val="0088640B"/>
    <w:rPr>
      <w:color w:val="0000FF"/>
      <w:u w:val="single"/>
    </w:rPr>
  </w:style>
  <w:style w:type="character" w:customStyle="1" w:styleId="ayx">
    <w:name w:val="_ay_x"/>
    <w:basedOn w:val="DefaultParagraphFont"/>
    <w:rsid w:val="0088640B"/>
  </w:style>
  <w:style w:type="character" w:customStyle="1" w:styleId="fc4">
    <w:name w:val="_fc_4"/>
    <w:basedOn w:val="DefaultParagraphFont"/>
    <w:rsid w:val="0088640B"/>
  </w:style>
  <w:style w:type="paragraph" w:customStyle="1" w:styleId="xmsonormal">
    <w:name w:val="x_msonormal"/>
    <w:basedOn w:val="Normal"/>
    <w:rsid w:val="0088640B"/>
    <w:pPr>
      <w:spacing w:before="100" w:beforeAutospacing="1" w:after="100" w:afterAutospacing="1"/>
      <w:ind w:left="0" w:right="0"/>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8104">
      <w:bodyDiv w:val="1"/>
      <w:marLeft w:val="0"/>
      <w:marRight w:val="0"/>
      <w:marTop w:val="0"/>
      <w:marBottom w:val="0"/>
      <w:divBdr>
        <w:top w:val="none" w:sz="0" w:space="0" w:color="auto"/>
        <w:left w:val="none" w:sz="0" w:space="0" w:color="auto"/>
        <w:bottom w:val="none" w:sz="0" w:space="0" w:color="auto"/>
        <w:right w:val="none" w:sz="0" w:space="0" w:color="auto"/>
      </w:divBdr>
    </w:div>
    <w:div w:id="308828825">
      <w:bodyDiv w:val="1"/>
      <w:marLeft w:val="0"/>
      <w:marRight w:val="0"/>
      <w:marTop w:val="0"/>
      <w:marBottom w:val="0"/>
      <w:divBdr>
        <w:top w:val="none" w:sz="0" w:space="0" w:color="auto"/>
        <w:left w:val="none" w:sz="0" w:space="0" w:color="auto"/>
        <w:bottom w:val="none" w:sz="0" w:space="0" w:color="auto"/>
        <w:right w:val="none" w:sz="0" w:space="0" w:color="auto"/>
      </w:divBdr>
      <w:divsChild>
        <w:div w:id="277876956">
          <w:marLeft w:val="0"/>
          <w:marRight w:val="0"/>
          <w:marTop w:val="0"/>
          <w:marBottom w:val="50"/>
          <w:divBdr>
            <w:top w:val="none" w:sz="0" w:space="0" w:color="auto"/>
            <w:left w:val="none" w:sz="0" w:space="0" w:color="auto"/>
            <w:bottom w:val="none" w:sz="0" w:space="0" w:color="auto"/>
            <w:right w:val="none" w:sz="0" w:space="0" w:color="auto"/>
          </w:divBdr>
          <w:divsChild>
            <w:div w:id="2030134049">
              <w:marLeft w:val="0"/>
              <w:marRight w:val="0"/>
              <w:marTop w:val="0"/>
              <w:marBottom w:val="0"/>
              <w:divBdr>
                <w:top w:val="none" w:sz="0" w:space="0" w:color="auto"/>
                <w:left w:val="none" w:sz="0" w:space="0" w:color="auto"/>
                <w:bottom w:val="none" w:sz="0" w:space="0" w:color="auto"/>
                <w:right w:val="none" w:sz="0" w:space="0" w:color="auto"/>
              </w:divBdr>
              <w:divsChild>
                <w:div w:id="1283463798">
                  <w:marLeft w:val="0"/>
                  <w:marRight w:val="0"/>
                  <w:marTop w:val="0"/>
                  <w:marBottom w:val="0"/>
                  <w:divBdr>
                    <w:top w:val="none" w:sz="0" w:space="0" w:color="auto"/>
                    <w:left w:val="none" w:sz="0" w:space="0" w:color="auto"/>
                    <w:bottom w:val="none" w:sz="0" w:space="0" w:color="auto"/>
                    <w:right w:val="none" w:sz="0" w:space="0" w:color="auto"/>
                  </w:divBdr>
                  <w:divsChild>
                    <w:div w:id="1622372068">
                      <w:marLeft w:val="0"/>
                      <w:marRight w:val="0"/>
                      <w:marTop w:val="0"/>
                      <w:marBottom w:val="25"/>
                      <w:divBdr>
                        <w:top w:val="none" w:sz="0" w:space="0" w:color="auto"/>
                        <w:left w:val="none" w:sz="0" w:space="0" w:color="auto"/>
                        <w:bottom w:val="none" w:sz="0" w:space="0" w:color="auto"/>
                        <w:right w:val="none" w:sz="0" w:space="0" w:color="auto"/>
                      </w:divBdr>
                      <w:divsChild>
                        <w:div w:id="1513031256">
                          <w:marLeft w:val="0"/>
                          <w:marRight w:val="0"/>
                          <w:marTop w:val="0"/>
                          <w:marBottom w:val="0"/>
                          <w:divBdr>
                            <w:top w:val="none" w:sz="0" w:space="0" w:color="auto"/>
                            <w:left w:val="none" w:sz="0" w:space="0" w:color="auto"/>
                            <w:bottom w:val="none" w:sz="0" w:space="0" w:color="auto"/>
                            <w:right w:val="none" w:sz="0" w:space="0" w:color="auto"/>
                          </w:divBdr>
                          <w:divsChild>
                            <w:div w:id="1784156784">
                              <w:marLeft w:val="0"/>
                              <w:marRight w:val="0"/>
                              <w:marTop w:val="0"/>
                              <w:marBottom w:val="0"/>
                              <w:divBdr>
                                <w:top w:val="none" w:sz="0" w:space="0" w:color="auto"/>
                                <w:left w:val="none" w:sz="0" w:space="0" w:color="auto"/>
                                <w:bottom w:val="none" w:sz="0" w:space="0" w:color="auto"/>
                                <w:right w:val="none" w:sz="0" w:space="0" w:color="auto"/>
                              </w:divBdr>
                              <w:divsChild>
                                <w:div w:id="848983869">
                                  <w:marLeft w:val="0"/>
                                  <w:marRight w:val="0"/>
                                  <w:marTop w:val="0"/>
                                  <w:marBottom w:val="0"/>
                                  <w:divBdr>
                                    <w:top w:val="none" w:sz="0" w:space="0" w:color="auto"/>
                                    <w:left w:val="none" w:sz="0" w:space="0" w:color="auto"/>
                                    <w:bottom w:val="none" w:sz="0" w:space="0" w:color="auto"/>
                                    <w:right w:val="none" w:sz="0" w:space="0" w:color="auto"/>
                                  </w:divBdr>
                                  <w:divsChild>
                                    <w:div w:id="552959229">
                                      <w:marLeft w:val="0"/>
                                      <w:marRight w:val="0"/>
                                      <w:marTop w:val="0"/>
                                      <w:marBottom w:val="0"/>
                                      <w:divBdr>
                                        <w:top w:val="none" w:sz="0" w:space="0" w:color="auto"/>
                                        <w:left w:val="none" w:sz="0" w:space="0" w:color="auto"/>
                                        <w:bottom w:val="none" w:sz="0" w:space="0" w:color="auto"/>
                                        <w:right w:val="none" w:sz="0" w:space="0" w:color="auto"/>
                                      </w:divBdr>
                                      <w:divsChild>
                                        <w:div w:id="1338388501">
                                          <w:marLeft w:val="0"/>
                                          <w:marRight w:val="0"/>
                                          <w:marTop w:val="0"/>
                                          <w:marBottom w:val="0"/>
                                          <w:divBdr>
                                            <w:top w:val="none" w:sz="0" w:space="0" w:color="auto"/>
                                            <w:left w:val="none" w:sz="0" w:space="0" w:color="auto"/>
                                            <w:bottom w:val="none" w:sz="0" w:space="0" w:color="auto"/>
                                            <w:right w:val="none" w:sz="0" w:space="0" w:color="auto"/>
                                          </w:divBdr>
                                          <w:divsChild>
                                            <w:div w:id="477116398">
                                              <w:marLeft w:val="0"/>
                                              <w:marRight w:val="0"/>
                                              <w:marTop w:val="0"/>
                                              <w:marBottom w:val="63"/>
                                              <w:divBdr>
                                                <w:top w:val="none" w:sz="0" w:space="0" w:color="auto"/>
                                                <w:left w:val="none" w:sz="0" w:space="0" w:color="auto"/>
                                                <w:bottom w:val="none" w:sz="0" w:space="0" w:color="auto"/>
                                                <w:right w:val="none" w:sz="0" w:space="0" w:color="auto"/>
                                              </w:divBdr>
                                              <w:divsChild>
                                                <w:div w:id="294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97881">
                                  <w:marLeft w:val="0"/>
                                  <w:marRight w:val="0"/>
                                  <w:marTop w:val="0"/>
                                  <w:marBottom w:val="0"/>
                                  <w:divBdr>
                                    <w:top w:val="none" w:sz="0" w:space="0" w:color="auto"/>
                                    <w:left w:val="none" w:sz="0" w:space="0" w:color="auto"/>
                                    <w:bottom w:val="none" w:sz="0" w:space="0" w:color="auto"/>
                                    <w:right w:val="none" w:sz="0" w:space="0" w:color="auto"/>
                                  </w:divBdr>
                                  <w:divsChild>
                                    <w:div w:id="506095951">
                                      <w:marLeft w:val="0"/>
                                      <w:marRight w:val="0"/>
                                      <w:marTop w:val="0"/>
                                      <w:marBottom w:val="0"/>
                                      <w:divBdr>
                                        <w:top w:val="none" w:sz="0" w:space="0" w:color="auto"/>
                                        <w:left w:val="none" w:sz="0" w:space="0" w:color="auto"/>
                                        <w:bottom w:val="none" w:sz="0" w:space="0" w:color="auto"/>
                                        <w:right w:val="none" w:sz="0" w:space="0" w:color="auto"/>
                                      </w:divBdr>
                                      <w:divsChild>
                                        <w:div w:id="1316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96289">
                                  <w:marLeft w:val="0"/>
                                  <w:marRight w:val="0"/>
                                  <w:marTop w:val="0"/>
                                  <w:marBottom w:val="0"/>
                                  <w:divBdr>
                                    <w:top w:val="none" w:sz="0" w:space="0" w:color="auto"/>
                                    <w:left w:val="none" w:sz="0" w:space="0" w:color="auto"/>
                                    <w:bottom w:val="none" w:sz="0" w:space="0" w:color="auto"/>
                                    <w:right w:val="none" w:sz="0" w:space="0" w:color="auto"/>
                                  </w:divBdr>
                                  <w:divsChild>
                                    <w:div w:id="1190605105">
                                      <w:marLeft w:val="0"/>
                                      <w:marRight w:val="0"/>
                                      <w:marTop w:val="0"/>
                                      <w:marBottom w:val="0"/>
                                      <w:divBdr>
                                        <w:top w:val="none" w:sz="0" w:space="0" w:color="auto"/>
                                        <w:left w:val="none" w:sz="0" w:space="0" w:color="auto"/>
                                        <w:bottom w:val="none" w:sz="0" w:space="0" w:color="auto"/>
                                        <w:right w:val="none" w:sz="0" w:space="0" w:color="auto"/>
                                      </w:divBdr>
                                      <w:divsChild>
                                        <w:div w:id="566065216">
                                          <w:marLeft w:val="0"/>
                                          <w:marRight w:val="0"/>
                                          <w:marTop w:val="0"/>
                                          <w:marBottom w:val="0"/>
                                          <w:divBdr>
                                            <w:top w:val="none" w:sz="0" w:space="0" w:color="auto"/>
                                            <w:left w:val="none" w:sz="0" w:space="0" w:color="auto"/>
                                            <w:bottom w:val="none" w:sz="0" w:space="0" w:color="auto"/>
                                            <w:right w:val="none" w:sz="0" w:space="0" w:color="auto"/>
                                          </w:divBdr>
                                          <w:divsChild>
                                            <w:div w:id="961961891">
                                              <w:marLeft w:val="0"/>
                                              <w:marRight w:val="0"/>
                                              <w:marTop w:val="0"/>
                                              <w:marBottom w:val="0"/>
                                              <w:divBdr>
                                                <w:top w:val="none" w:sz="0" w:space="0" w:color="auto"/>
                                                <w:left w:val="none" w:sz="0" w:space="0" w:color="auto"/>
                                                <w:bottom w:val="none" w:sz="0" w:space="0" w:color="auto"/>
                                                <w:right w:val="none" w:sz="0" w:space="0" w:color="auto"/>
                                              </w:divBdr>
                                            </w:div>
                                          </w:divsChild>
                                        </w:div>
                                        <w:div w:id="1637952937">
                                          <w:marLeft w:val="0"/>
                                          <w:marRight w:val="0"/>
                                          <w:marTop w:val="0"/>
                                          <w:marBottom w:val="0"/>
                                          <w:divBdr>
                                            <w:top w:val="none" w:sz="0" w:space="0" w:color="auto"/>
                                            <w:left w:val="none" w:sz="0" w:space="0" w:color="auto"/>
                                            <w:bottom w:val="none" w:sz="0" w:space="0" w:color="auto"/>
                                            <w:right w:val="none" w:sz="0" w:space="0" w:color="auto"/>
                                          </w:divBdr>
                                          <w:divsChild>
                                            <w:div w:id="951588755">
                                              <w:marLeft w:val="0"/>
                                              <w:marRight w:val="0"/>
                                              <w:marTop w:val="0"/>
                                              <w:marBottom w:val="0"/>
                                              <w:divBdr>
                                                <w:top w:val="none" w:sz="0" w:space="0" w:color="auto"/>
                                                <w:left w:val="none" w:sz="0" w:space="0" w:color="auto"/>
                                                <w:bottom w:val="none" w:sz="0" w:space="0" w:color="auto"/>
                                                <w:right w:val="none" w:sz="0" w:space="0" w:color="auto"/>
                                              </w:divBdr>
                                              <w:divsChild>
                                                <w:div w:id="1213158724">
                                                  <w:marLeft w:val="0"/>
                                                  <w:marRight w:val="0"/>
                                                  <w:marTop w:val="0"/>
                                                  <w:marBottom w:val="0"/>
                                                  <w:divBdr>
                                                    <w:top w:val="none" w:sz="0" w:space="0" w:color="auto"/>
                                                    <w:left w:val="none" w:sz="0" w:space="0" w:color="auto"/>
                                                    <w:bottom w:val="none" w:sz="0" w:space="0" w:color="auto"/>
                                                    <w:right w:val="none" w:sz="0" w:space="0" w:color="auto"/>
                                                  </w:divBdr>
                                                  <w:divsChild>
                                                    <w:div w:id="1892109122">
                                                      <w:marLeft w:val="0"/>
                                                      <w:marRight w:val="0"/>
                                                      <w:marTop w:val="0"/>
                                                      <w:marBottom w:val="0"/>
                                                      <w:divBdr>
                                                        <w:top w:val="none" w:sz="0" w:space="0" w:color="auto"/>
                                                        <w:left w:val="none" w:sz="0" w:space="0" w:color="auto"/>
                                                        <w:bottom w:val="none" w:sz="0" w:space="0" w:color="auto"/>
                                                        <w:right w:val="none" w:sz="0" w:space="0" w:color="auto"/>
                                                      </w:divBdr>
                                                      <w:divsChild>
                                                        <w:div w:id="484202308">
                                                          <w:marLeft w:val="0"/>
                                                          <w:marRight w:val="0"/>
                                                          <w:marTop w:val="0"/>
                                                          <w:marBottom w:val="0"/>
                                                          <w:divBdr>
                                                            <w:top w:val="none" w:sz="0" w:space="0" w:color="auto"/>
                                                            <w:left w:val="none" w:sz="0" w:space="0" w:color="auto"/>
                                                            <w:bottom w:val="none" w:sz="0" w:space="0" w:color="auto"/>
                                                            <w:right w:val="none" w:sz="0" w:space="0" w:color="auto"/>
                                                          </w:divBdr>
                                                          <w:divsChild>
                                                            <w:div w:id="955796326">
                                                              <w:marLeft w:val="0"/>
                                                              <w:marRight w:val="0"/>
                                                              <w:marTop w:val="0"/>
                                                              <w:marBottom w:val="0"/>
                                                              <w:divBdr>
                                                                <w:top w:val="none" w:sz="0" w:space="0" w:color="auto"/>
                                                                <w:left w:val="none" w:sz="0" w:space="0" w:color="auto"/>
                                                                <w:bottom w:val="none" w:sz="0" w:space="0" w:color="auto"/>
                                                                <w:right w:val="none" w:sz="0" w:space="0" w:color="auto"/>
                                                              </w:divBdr>
                                                              <w:divsChild>
                                                                <w:div w:id="1393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0037">
                                                  <w:marLeft w:val="0"/>
                                                  <w:marRight w:val="0"/>
                                                  <w:marTop w:val="0"/>
                                                  <w:marBottom w:val="0"/>
                                                  <w:divBdr>
                                                    <w:top w:val="none" w:sz="0" w:space="0" w:color="auto"/>
                                                    <w:left w:val="none" w:sz="0" w:space="0" w:color="auto"/>
                                                    <w:bottom w:val="none" w:sz="0" w:space="0" w:color="auto"/>
                                                    <w:right w:val="none" w:sz="0" w:space="0" w:color="auto"/>
                                                  </w:divBdr>
                                                  <w:divsChild>
                                                    <w:div w:id="1962104630">
                                                      <w:marLeft w:val="0"/>
                                                      <w:marRight w:val="0"/>
                                                      <w:marTop w:val="0"/>
                                                      <w:marBottom w:val="0"/>
                                                      <w:divBdr>
                                                        <w:top w:val="none" w:sz="0" w:space="0" w:color="auto"/>
                                                        <w:left w:val="none" w:sz="0" w:space="0" w:color="auto"/>
                                                        <w:bottom w:val="none" w:sz="0" w:space="0" w:color="auto"/>
                                                        <w:right w:val="none" w:sz="0" w:space="0" w:color="auto"/>
                                                      </w:divBdr>
                                                      <w:divsChild>
                                                        <w:div w:id="1442147238">
                                                          <w:marLeft w:val="0"/>
                                                          <w:marRight w:val="0"/>
                                                          <w:marTop w:val="0"/>
                                                          <w:marBottom w:val="0"/>
                                                          <w:divBdr>
                                                            <w:top w:val="none" w:sz="0" w:space="0" w:color="auto"/>
                                                            <w:left w:val="none" w:sz="0" w:space="0" w:color="auto"/>
                                                            <w:bottom w:val="none" w:sz="0" w:space="0" w:color="auto"/>
                                                            <w:right w:val="none" w:sz="0" w:space="0" w:color="auto"/>
                                                          </w:divBdr>
                                                          <w:divsChild>
                                                            <w:div w:id="227227707">
                                                              <w:marLeft w:val="0"/>
                                                              <w:marRight w:val="0"/>
                                                              <w:marTop w:val="0"/>
                                                              <w:marBottom w:val="0"/>
                                                              <w:divBdr>
                                                                <w:top w:val="none" w:sz="0" w:space="0" w:color="auto"/>
                                                                <w:left w:val="none" w:sz="0" w:space="0" w:color="auto"/>
                                                                <w:bottom w:val="none" w:sz="0" w:space="0" w:color="auto"/>
                                                                <w:right w:val="none" w:sz="0" w:space="0" w:color="auto"/>
                                                              </w:divBdr>
                                                              <w:divsChild>
                                                                <w:div w:id="9860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3330948">
                  <w:marLeft w:val="776"/>
                  <w:marRight w:val="0"/>
                  <w:marTop w:val="0"/>
                  <w:marBottom w:val="0"/>
                  <w:divBdr>
                    <w:top w:val="none" w:sz="0" w:space="0" w:color="auto"/>
                    <w:left w:val="none" w:sz="0" w:space="0" w:color="auto"/>
                    <w:bottom w:val="none" w:sz="0" w:space="0" w:color="auto"/>
                    <w:right w:val="none" w:sz="0" w:space="0" w:color="auto"/>
                  </w:divBdr>
                  <w:divsChild>
                    <w:div w:id="2088187428">
                      <w:marLeft w:val="0"/>
                      <w:marRight w:val="0"/>
                      <w:marTop w:val="0"/>
                      <w:marBottom w:val="0"/>
                      <w:divBdr>
                        <w:top w:val="none" w:sz="0" w:space="0" w:color="auto"/>
                        <w:left w:val="none" w:sz="0" w:space="0" w:color="auto"/>
                        <w:bottom w:val="none" w:sz="0" w:space="0" w:color="auto"/>
                        <w:right w:val="none" w:sz="0" w:space="0" w:color="auto"/>
                      </w:divBdr>
                      <w:divsChild>
                        <w:div w:id="40326844">
                          <w:marLeft w:val="0"/>
                          <w:marRight w:val="0"/>
                          <w:marTop w:val="0"/>
                          <w:marBottom w:val="0"/>
                          <w:divBdr>
                            <w:top w:val="none" w:sz="0" w:space="0" w:color="auto"/>
                            <w:left w:val="none" w:sz="0" w:space="0" w:color="auto"/>
                            <w:bottom w:val="none" w:sz="0" w:space="0" w:color="auto"/>
                            <w:right w:val="none" w:sz="0" w:space="0" w:color="auto"/>
                          </w:divBdr>
                          <w:divsChild>
                            <w:div w:id="2077390878">
                              <w:marLeft w:val="0"/>
                              <w:marRight w:val="0"/>
                              <w:marTop w:val="0"/>
                              <w:marBottom w:val="0"/>
                              <w:divBdr>
                                <w:top w:val="none" w:sz="0" w:space="0" w:color="auto"/>
                                <w:left w:val="none" w:sz="0" w:space="0" w:color="auto"/>
                                <w:bottom w:val="none" w:sz="0" w:space="0" w:color="auto"/>
                                <w:right w:val="none" w:sz="0" w:space="0" w:color="auto"/>
                              </w:divBdr>
                              <w:divsChild>
                                <w:div w:id="130830693">
                                  <w:marLeft w:val="0"/>
                                  <w:marRight w:val="0"/>
                                  <w:marTop w:val="0"/>
                                  <w:marBottom w:val="0"/>
                                  <w:divBdr>
                                    <w:top w:val="none" w:sz="0" w:space="0" w:color="auto"/>
                                    <w:left w:val="none" w:sz="0" w:space="0" w:color="auto"/>
                                    <w:bottom w:val="none" w:sz="0" w:space="0" w:color="auto"/>
                                    <w:right w:val="none" w:sz="0" w:space="0" w:color="auto"/>
                                  </w:divBdr>
                                  <w:divsChild>
                                    <w:div w:id="821578857">
                                      <w:marLeft w:val="0"/>
                                      <w:marRight w:val="0"/>
                                      <w:marTop w:val="0"/>
                                      <w:marBottom w:val="0"/>
                                      <w:divBdr>
                                        <w:top w:val="none" w:sz="0" w:space="0" w:color="auto"/>
                                        <w:left w:val="none" w:sz="0" w:space="0" w:color="auto"/>
                                        <w:bottom w:val="none" w:sz="0" w:space="0" w:color="auto"/>
                                        <w:right w:val="none" w:sz="0" w:space="0" w:color="auto"/>
                                      </w:divBdr>
                                      <w:divsChild>
                                        <w:div w:id="10841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4336">
                                  <w:marLeft w:val="0"/>
                                  <w:marRight w:val="0"/>
                                  <w:marTop w:val="0"/>
                                  <w:marBottom w:val="0"/>
                                  <w:divBdr>
                                    <w:top w:val="none" w:sz="0" w:space="0" w:color="auto"/>
                                    <w:left w:val="none" w:sz="0" w:space="0" w:color="auto"/>
                                    <w:bottom w:val="none" w:sz="0" w:space="0" w:color="auto"/>
                                    <w:right w:val="none" w:sz="0" w:space="0" w:color="auto"/>
                                  </w:divBdr>
                                  <w:divsChild>
                                    <w:div w:id="1357585144">
                                      <w:marLeft w:val="13"/>
                                      <w:marRight w:val="125"/>
                                      <w:marTop w:val="13"/>
                                      <w:marBottom w:val="125"/>
                                      <w:divBdr>
                                        <w:top w:val="none" w:sz="0" w:space="0" w:color="auto"/>
                                        <w:left w:val="none" w:sz="0" w:space="0" w:color="auto"/>
                                        <w:bottom w:val="none" w:sz="0" w:space="0" w:color="auto"/>
                                        <w:right w:val="none" w:sz="0" w:space="0" w:color="auto"/>
                                      </w:divBdr>
                                      <w:divsChild>
                                        <w:div w:id="533084149">
                                          <w:marLeft w:val="0"/>
                                          <w:marRight w:val="0"/>
                                          <w:marTop w:val="0"/>
                                          <w:marBottom w:val="0"/>
                                          <w:divBdr>
                                            <w:top w:val="none" w:sz="0" w:space="0" w:color="auto"/>
                                            <w:left w:val="none" w:sz="0" w:space="0" w:color="auto"/>
                                            <w:bottom w:val="none" w:sz="0" w:space="0" w:color="auto"/>
                                            <w:right w:val="none" w:sz="0" w:space="0" w:color="auto"/>
                                          </w:divBdr>
                                          <w:divsChild>
                                            <w:div w:id="847869527">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412913">
          <w:marLeft w:val="776"/>
          <w:marRight w:val="0"/>
          <w:marTop w:val="150"/>
          <w:marBottom w:val="0"/>
          <w:divBdr>
            <w:top w:val="none" w:sz="0" w:space="0" w:color="auto"/>
            <w:left w:val="none" w:sz="0" w:space="0" w:color="auto"/>
            <w:bottom w:val="none" w:sz="0" w:space="0" w:color="auto"/>
            <w:right w:val="none" w:sz="0" w:space="0" w:color="auto"/>
          </w:divBdr>
          <w:divsChild>
            <w:div w:id="1264269227">
              <w:marLeft w:val="0"/>
              <w:marRight w:val="0"/>
              <w:marTop w:val="0"/>
              <w:marBottom w:val="0"/>
              <w:divBdr>
                <w:top w:val="none" w:sz="0" w:space="0" w:color="auto"/>
                <w:left w:val="none" w:sz="0" w:space="0" w:color="auto"/>
                <w:bottom w:val="none" w:sz="0" w:space="0" w:color="auto"/>
                <w:right w:val="none" w:sz="0" w:space="0" w:color="auto"/>
              </w:divBdr>
              <w:divsChild>
                <w:div w:id="1454790864">
                  <w:marLeft w:val="0"/>
                  <w:marRight w:val="0"/>
                  <w:marTop w:val="0"/>
                  <w:marBottom w:val="0"/>
                  <w:divBdr>
                    <w:top w:val="none" w:sz="0" w:space="0" w:color="auto"/>
                    <w:left w:val="none" w:sz="0" w:space="0" w:color="auto"/>
                    <w:bottom w:val="none" w:sz="0" w:space="0" w:color="auto"/>
                    <w:right w:val="none" w:sz="0" w:space="0" w:color="auto"/>
                  </w:divBdr>
                  <w:divsChild>
                    <w:div w:id="1355303103">
                      <w:marLeft w:val="0"/>
                      <w:marRight w:val="0"/>
                      <w:marTop w:val="0"/>
                      <w:marBottom w:val="0"/>
                      <w:divBdr>
                        <w:top w:val="none" w:sz="0" w:space="0" w:color="auto"/>
                        <w:left w:val="none" w:sz="0" w:space="0" w:color="auto"/>
                        <w:bottom w:val="none" w:sz="0" w:space="0" w:color="auto"/>
                        <w:right w:val="none" w:sz="0" w:space="0" w:color="auto"/>
                      </w:divBdr>
                      <w:divsChild>
                        <w:div w:id="211121085">
                          <w:marLeft w:val="0"/>
                          <w:marRight w:val="0"/>
                          <w:marTop w:val="0"/>
                          <w:marBottom w:val="0"/>
                          <w:divBdr>
                            <w:top w:val="none" w:sz="0" w:space="0" w:color="auto"/>
                            <w:left w:val="none" w:sz="0" w:space="0" w:color="auto"/>
                            <w:bottom w:val="none" w:sz="0" w:space="0" w:color="auto"/>
                            <w:right w:val="none" w:sz="0" w:space="0" w:color="auto"/>
                          </w:divBdr>
                          <w:divsChild>
                            <w:div w:id="774522358">
                              <w:marLeft w:val="0"/>
                              <w:marRight w:val="0"/>
                              <w:marTop w:val="0"/>
                              <w:marBottom w:val="0"/>
                              <w:divBdr>
                                <w:top w:val="none" w:sz="0" w:space="0" w:color="auto"/>
                                <w:left w:val="none" w:sz="0" w:space="0" w:color="auto"/>
                                <w:bottom w:val="none" w:sz="0" w:space="0" w:color="auto"/>
                                <w:right w:val="none" w:sz="0" w:space="0" w:color="auto"/>
                              </w:divBdr>
                              <w:divsChild>
                                <w:div w:id="230576975">
                                  <w:marLeft w:val="0"/>
                                  <w:marRight w:val="0"/>
                                  <w:marTop w:val="0"/>
                                  <w:marBottom w:val="0"/>
                                  <w:divBdr>
                                    <w:top w:val="none" w:sz="0" w:space="0" w:color="auto"/>
                                    <w:left w:val="none" w:sz="0" w:space="0" w:color="auto"/>
                                    <w:bottom w:val="none" w:sz="0" w:space="0" w:color="auto"/>
                                    <w:right w:val="none" w:sz="0" w:space="0" w:color="auto"/>
                                  </w:divBdr>
                                  <w:divsChild>
                                    <w:div w:id="12001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5171">
      <w:bodyDiv w:val="1"/>
      <w:marLeft w:val="0"/>
      <w:marRight w:val="0"/>
      <w:marTop w:val="0"/>
      <w:marBottom w:val="0"/>
      <w:divBdr>
        <w:top w:val="none" w:sz="0" w:space="0" w:color="auto"/>
        <w:left w:val="none" w:sz="0" w:space="0" w:color="auto"/>
        <w:bottom w:val="none" w:sz="0" w:space="0" w:color="auto"/>
        <w:right w:val="none" w:sz="0" w:space="0" w:color="auto"/>
      </w:divBdr>
      <w:divsChild>
        <w:div w:id="1250043111">
          <w:marLeft w:val="0"/>
          <w:marRight w:val="0"/>
          <w:marTop w:val="0"/>
          <w:marBottom w:val="0"/>
          <w:divBdr>
            <w:top w:val="none" w:sz="0" w:space="0" w:color="auto"/>
            <w:left w:val="none" w:sz="0" w:space="0" w:color="auto"/>
            <w:bottom w:val="none" w:sz="0" w:space="0" w:color="auto"/>
            <w:right w:val="none" w:sz="0" w:space="0" w:color="auto"/>
          </w:divBdr>
        </w:div>
      </w:divsChild>
    </w:div>
    <w:div w:id="498153315">
      <w:bodyDiv w:val="1"/>
      <w:marLeft w:val="0"/>
      <w:marRight w:val="0"/>
      <w:marTop w:val="0"/>
      <w:marBottom w:val="0"/>
      <w:divBdr>
        <w:top w:val="none" w:sz="0" w:space="0" w:color="auto"/>
        <w:left w:val="none" w:sz="0" w:space="0" w:color="auto"/>
        <w:bottom w:val="none" w:sz="0" w:space="0" w:color="auto"/>
        <w:right w:val="none" w:sz="0" w:space="0" w:color="auto"/>
      </w:divBdr>
    </w:div>
    <w:div w:id="692657262">
      <w:bodyDiv w:val="1"/>
      <w:marLeft w:val="0"/>
      <w:marRight w:val="0"/>
      <w:marTop w:val="0"/>
      <w:marBottom w:val="0"/>
      <w:divBdr>
        <w:top w:val="none" w:sz="0" w:space="0" w:color="auto"/>
        <w:left w:val="none" w:sz="0" w:space="0" w:color="auto"/>
        <w:bottom w:val="none" w:sz="0" w:space="0" w:color="auto"/>
        <w:right w:val="none" w:sz="0" w:space="0" w:color="auto"/>
      </w:divBdr>
    </w:div>
    <w:div w:id="10388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Baker</dc:creator>
  <cp:lastModifiedBy>Town Clerk Newport Pagnell Town Council</cp:lastModifiedBy>
  <cp:revision>5</cp:revision>
  <dcterms:created xsi:type="dcterms:W3CDTF">2025-05-08T14:51:00Z</dcterms:created>
  <dcterms:modified xsi:type="dcterms:W3CDTF">2025-05-21T11:38:00Z</dcterms:modified>
</cp:coreProperties>
</file>