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6E5B896F" w14:textId="4FFBCF70" w:rsidR="003561B6" w:rsidRPr="0095605E" w:rsidRDefault="003561B6" w:rsidP="003561B6">
      <w:pPr>
        <w:pStyle w:val="BodyText"/>
        <w:rPr>
          <w:b/>
          <w:bCs/>
          <w:i/>
          <w:iCs/>
          <w:highlight w:val="cyan"/>
          <w:lang w:val="en-US"/>
        </w:rPr>
      </w:pPr>
      <w:r w:rsidRPr="0095605E">
        <w:rPr>
          <w:b/>
          <w:bCs/>
          <w:i/>
          <w:iCs/>
          <w:highlight w:val="cyan"/>
          <w:lang w:val="en-US"/>
        </w:rPr>
        <w:t>Guidance note:</w:t>
      </w:r>
      <w:r w:rsidR="005A6439">
        <w:rPr>
          <w:b/>
          <w:bCs/>
          <w:i/>
          <w:iCs/>
          <w:highlight w:val="cyan"/>
          <w:lang w:val="en-US"/>
        </w:rPr>
        <w:t xml:space="preserve"> Several parts of this Order are highlighted with guidance and options as follows:</w:t>
      </w:r>
    </w:p>
    <w:p w14:paraId="1C70ED72" w14:textId="77777777" w:rsidR="003561B6" w:rsidRPr="0095605E" w:rsidRDefault="003561B6" w:rsidP="009D6BFB">
      <w:pPr>
        <w:rPr>
          <w:rFonts w:cstheme="minorHAnsi"/>
          <w:b/>
          <w:bCs/>
          <w:i/>
          <w:iCs/>
        </w:rPr>
      </w:pPr>
    </w:p>
    <w:p w14:paraId="1C99E457" w14:textId="4F59B0CB" w:rsidR="0095605E" w:rsidRDefault="003561B6" w:rsidP="003561B6">
      <w:pPr>
        <w:numPr>
          <w:ilvl w:val="0"/>
          <w:numId w:val="12"/>
        </w:numPr>
        <w:spacing w:before="120" w:after="120" w:line="360" w:lineRule="auto"/>
        <w:jc w:val="both"/>
        <w:rPr>
          <w:rFonts w:cstheme="minorHAnsi"/>
          <w:b/>
          <w:bCs/>
          <w:i/>
          <w:iCs/>
          <w:color w:val="000000"/>
        </w:rPr>
      </w:pPr>
      <w:r w:rsidRPr="0095605E">
        <w:rPr>
          <w:rFonts w:cstheme="minorHAnsi"/>
          <w:b/>
          <w:bCs/>
          <w:i/>
          <w:iCs/>
          <w:color w:val="000000"/>
          <w:highlight w:val="cyan"/>
        </w:rPr>
        <w:t xml:space="preserve">(Blue) Internal guidance note </w:t>
      </w:r>
      <w:r w:rsidR="002F6F29">
        <w:rPr>
          <w:rFonts w:cstheme="minorHAnsi"/>
          <w:b/>
          <w:bCs/>
          <w:i/>
          <w:iCs/>
          <w:color w:val="000000"/>
          <w:highlight w:val="cyan"/>
        </w:rPr>
        <w:t>that must be</w:t>
      </w:r>
      <w:r w:rsidRPr="0095605E">
        <w:rPr>
          <w:rFonts w:cstheme="minorHAnsi"/>
          <w:b/>
          <w:bCs/>
          <w:i/>
          <w:iCs/>
          <w:color w:val="000000"/>
          <w:highlight w:val="cyan"/>
        </w:rPr>
        <w:t xml:space="preserve"> deleted before </w:t>
      </w:r>
      <w:r w:rsidR="00107BD9" w:rsidRPr="0095605E">
        <w:rPr>
          <w:rFonts w:cstheme="minorHAnsi"/>
          <w:b/>
          <w:bCs/>
          <w:i/>
          <w:iCs/>
          <w:color w:val="000000"/>
          <w:highlight w:val="cyan"/>
        </w:rPr>
        <w:t>circulating.</w:t>
      </w:r>
      <w:r w:rsidRPr="0095605E">
        <w:rPr>
          <w:rFonts w:cstheme="minorHAnsi"/>
          <w:b/>
          <w:bCs/>
          <w:i/>
          <w:iCs/>
          <w:color w:val="000000"/>
        </w:rPr>
        <w:t xml:space="preserve"> </w:t>
      </w:r>
      <w:bookmarkStart w:id="0" w:name="_Hlk135305402"/>
    </w:p>
    <w:p w14:paraId="400A83D8" w14:textId="77789C52" w:rsidR="003561B6" w:rsidRPr="0095605E" w:rsidRDefault="003561B6" w:rsidP="0095605E">
      <w:pPr>
        <w:numPr>
          <w:ilvl w:val="0"/>
          <w:numId w:val="12"/>
        </w:numPr>
        <w:spacing w:before="120" w:after="120" w:line="360" w:lineRule="auto"/>
        <w:jc w:val="both"/>
        <w:rPr>
          <w:rFonts w:cstheme="minorHAnsi"/>
          <w:b/>
          <w:bCs/>
          <w:i/>
          <w:iCs/>
          <w:color w:val="000000"/>
        </w:rPr>
      </w:pPr>
      <w:r w:rsidRPr="0095605E">
        <w:rPr>
          <w:rFonts w:cstheme="minorHAnsi"/>
          <w:b/>
          <w:bCs/>
          <w:i/>
          <w:iCs/>
          <w:color w:val="000000"/>
          <w:highlight w:val="yellow"/>
        </w:rPr>
        <w:t xml:space="preserve">(Yellow) </w:t>
      </w:r>
      <w:bookmarkEnd w:id="0"/>
      <w:r w:rsidRPr="0095605E">
        <w:rPr>
          <w:rFonts w:cstheme="minorHAnsi"/>
          <w:b/>
          <w:bCs/>
          <w:i/>
          <w:iCs/>
          <w:color w:val="000000"/>
          <w:highlight w:val="yellow"/>
        </w:rPr>
        <w:t>Optional provision to be deleted if not required or amended to reflect the circumstances</w:t>
      </w:r>
      <w:r w:rsidR="005A6439">
        <w:rPr>
          <w:rFonts w:cstheme="minorHAnsi"/>
          <w:b/>
          <w:bCs/>
          <w:i/>
          <w:iCs/>
          <w:color w:val="000000"/>
        </w:rPr>
        <w:t>.</w:t>
      </w:r>
    </w:p>
    <w:p w14:paraId="5B9DC05F" w14:textId="2D3CB061" w:rsidR="00C66B2C" w:rsidRPr="00C66B2C" w:rsidRDefault="00C66B2C" w:rsidP="00C66B2C">
      <w:pPr>
        <w:pStyle w:val="BodyText"/>
        <w:numPr>
          <w:ilvl w:val="0"/>
          <w:numId w:val="12"/>
        </w:numPr>
        <w:rPr>
          <w:bCs/>
          <w:i/>
          <w:iCs/>
          <w:highlight w:val="cyan"/>
          <w:lang w:val="en-US"/>
        </w:rPr>
      </w:pPr>
      <w:bookmarkStart w:id="1" w:name="_Hlk148352980"/>
      <w:r w:rsidRPr="00C66B2C">
        <w:rPr>
          <w:bCs/>
          <w:i/>
          <w:iCs/>
          <w:highlight w:val="cyan"/>
          <w:lang w:val="en-US"/>
        </w:rPr>
        <w:t>Th</w:t>
      </w:r>
      <w:r>
        <w:rPr>
          <w:bCs/>
          <w:i/>
          <w:iCs/>
          <w:highlight w:val="cyan"/>
          <w:lang w:val="en-US"/>
        </w:rPr>
        <w:t>is Order and the accompanying</w:t>
      </w:r>
      <w:r w:rsidRPr="00C66B2C">
        <w:rPr>
          <w:bCs/>
          <w:i/>
          <w:iCs/>
          <w:highlight w:val="cyan"/>
          <w:lang w:val="en-US"/>
        </w:rPr>
        <w:t xml:space="preserve"> Terms and Conditions are to be used for medium value (£10-50K) contracts for relatively simple purchases of goods and/or services.</w:t>
      </w:r>
    </w:p>
    <w:p w14:paraId="1FF63F2E" w14:textId="52B40FE7" w:rsidR="00C66B2C" w:rsidRPr="00C66B2C" w:rsidRDefault="00C66B2C" w:rsidP="00C66B2C">
      <w:pPr>
        <w:pStyle w:val="BodyText"/>
        <w:numPr>
          <w:ilvl w:val="0"/>
          <w:numId w:val="12"/>
        </w:numPr>
        <w:rPr>
          <w:bCs/>
          <w:i/>
          <w:iCs/>
          <w:highlight w:val="cyan"/>
          <w:lang w:val="en-US"/>
        </w:rPr>
      </w:pPr>
      <w:r w:rsidRPr="00C66B2C">
        <w:rPr>
          <w:bCs/>
          <w:i/>
          <w:iCs/>
          <w:highlight w:val="cyan"/>
          <w:lang w:val="en-US"/>
        </w:rPr>
        <w:t>Except as permitted in th</w:t>
      </w:r>
      <w:r>
        <w:rPr>
          <w:bCs/>
          <w:i/>
          <w:iCs/>
          <w:highlight w:val="cyan"/>
          <w:lang w:val="en-US"/>
        </w:rPr>
        <w:t>is</w:t>
      </w:r>
      <w:r w:rsidRPr="00C66B2C">
        <w:rPr>
          <w:bCs/>
          <w:i/>
          <w:iCs/>
          <w:highlight w:val="cyan"/>
          <w:lang w:val="en-US"/>
        </w:rPr>
        <w:t xml:space="preserve"> Order the</w:t>
      </w:r>
      <w:r>
        <w:rPr>
          <w:bCs/>
          <w:i/>
          <w:iCs/>
          <w:highlight w:val="cyan"/>
          <w:lang w:val="en-US"/>
        </w:rPr>
        <w:t xml:space="preserve"> Terms and Conditions</w:t>
      </w:r>
      <w:r w:rsidRPr="00C66B2C">
        <w:rPr>
          <w:bCs/>
          <w:i/>
          <w:iCs/>
          <w:highlight w:val="cyan"/>
          <w:lang w:val="en-US"/>
        </w:rPr>
        <w:t xml:space="preserve"> are not intended to be varied or negotiated in any way. </w:t>
      </w:r>
    </w:p>
    <w:p w14:paraId="3FCAB00A" w14:textId="1B18EB72" w:rsidR="00C66B2C" w:rsidRPr="00C66B2C" w:rsidRDefault="00C66B2C" w:rsidP="00C66B2C">
      <w:pPr>
        <w:pStyle w:val="BodyText"/>
        <w:numPr>
          <w:ilvl w:val="0"/>
          <w:numId w:val="12"/>
        </w:numPr>
        <w:rPr>
          <w:bCs/>
          <w:i/>
          <w:iCs/>
          <w:highlight w:val="cyan"/>
          <w:lang w:val="en-US"/>
        </w:rPr>
      </w:pPr>
      <w:r w:rsidRPr="00C66B2C">
        <w:rPr>
          <w:bCs/>
          <w:i/>
          <w:iCs/>
          <w:highlight w:val="cyan"/>
          <w:lang w:val="en-US"/>
        </w:rPr>
        <w:t>For complex goods/services or long term service arrangements, please use one of the other Standard Template documents as appropriate. The Decision Tree document found at [link] will help you determine the appropriate Standard Template document to use.</w:t>
      </w:r>
    </w:p>
    <w:p w14:paraId="1C2C26C9" w14:textId="70EECECE" w:rsidR="00C66B2C" w:rsidRPr="00C66B2C" w:rsidRDefault="00C66B2C" w:rsidP="00C66B2C">
      <w:pPr>
        <w:pStyle w:val="BodyText"/>
        <w:numPr>
          <w:ilvl w:val="0"/>
          <w:numId w:val="12"/>
        </w:numPr>
        <w:rPr>
          <w:bCs/>
          <w:i/>
          <w:iCs/>
          <w:highlight w:val="cyan"/>
          <w:lang w:val="en-US"/>
        </w:rPr>
      </w:pPr>
      <w:r w:rsidRPr="00C66B2C">
        <w:rPr>
          <w:bCs/>
          <w:i/>
          <w:iCs/>
          <w:highlight w:val="cyan"/>
          <w:lang w:val="en-US"/>
        </w:rPr>
        <w:t>Section 21 of th</w:t>
      </w:r>
      <w:r>
        <w:rPr>
          <w:bCs/>
          <w:i/>
          <w:iCs/>
          <w:highlight w:val="cyan"/>
          <w:lang w:val="en-US"/>
        </w:rPr>
        <w:t>is</w:t>
      </w:r>
      <w:r w:rsidRPr="00C66B2C">
        <w:rPr>
          <w:bCs/>
          <w:i/>
          <w:iCs/>
          <w:highlight w:val="cyan"/>
          <w:lang w:val="en-US"/>
        </w:rPr>
        <w:t xml:space="preserve"> Order contains guidance and options to select in respect of applicable data sharing/processing provisions depending on the level of sharing or processing of personal data you anticipate the supplier will be carrying out.</w:t>
      </w:r>
    </w:p>
    <w:bookmarkEnd w:id="1"/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6BF5446F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  <w:r w:rsidR="00FA2C69" w:rsidRPr="00BC7CC2">
              <w:rPr>
                <w:rFonts w:ascii="Arial" w:hAnsi="Arial" w:cs="Arial"/>
                <w:i/>
                <w:sz w:val="18"/>
                <w:szCs w:val="18"/>
                <w:highlight w:val="cyan"/>
              </w:rPr>
              <w:t>if known or state that it is to be confirmed if not known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]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37F94EC1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="00D76246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Natural England, acting as part of the crown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4A94471E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>use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 </w:t>
            </w:r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>C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ompanies </w:t>
            </w:r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>H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ouse </w:t>
            </w:r>
            <w:hyperlink r:id="rId14" w:history="1">
              <w:r w:rsidR="0081639D" w:rsidRPr="0081639D">
                <w:rPr>
                  <w:rStyle w:val="Hyperlink"/>
                  <w:rFonts w:ascii="Arial" w:hAnsi="Arial" w:cs="Arial"/>
                  <w:i/>
                  <w:sz w:val="18"/>
                  <w:szCs w:val="18"/>
                  <w:highlight w:val="cyan"/>
                </w:rPr>
                <w:t>website</w:t>
              </w:r>
            </w:hyperlink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 to obtain or validate details of incorporated entities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>)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1CD9B3D" w14:textId="77777777" w:rsidR="007E7D58" w:rsidRDefault="00A14AE1" w:rsidP="003E61B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4D7CAEA0" w14:textId="77777777" w:rsidR="003E61BE" w:rsidRDefault="003E61BE" w:rsidP="003E61B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A1D7A6B" w14:textId="77777777" w:rsidR="003E61BE" w:rsidRDefault="003E61BE" w:rsidP="003E61B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7BCCEA5E" w:rsidR="003E61BE" w:rsidRPr="003E61BE" w:rsidRDefault="003E61BE" w:rsidP="003E61B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315922" w14:textId="433E9499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[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Guidance note: </w:t>
            </w: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Please do not attach any Contractor terms and conditions to this Order</w:t>
            </w:r>
            <w:r w:rsidR="005B1BD6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. Please speak to </w:t>
            </w:r>
            <w:r w:rsidR="001F7939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GLD or your</w:t>
            </w:r>
            <w:r w:rsidR="005B1BD6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relevant legal team if the Contractor is seeking to incorporate its own terms such as for software licenses as this may not be a suitable </w:t>
            </w:r>
            <w:r w:rsidR="001F7939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template </w:t>
            </w:r>
            <w:r w:rsidR="005B1BD6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contract</w:t>
            </w:r>
            <w:r w:rsidR="001F7939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in those circumstances</w:t>
            </w:r>
            <w:r w:rsidR="005B1BD6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.</w:t>
            </w: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25FD476C" w14:textId="398A661B" w:rsidR="00A14AE1" w:rsidRDefault="00A14AE1" w:rsidP="00A14AE1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709855CC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1B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3042A336" w14:textId="7C8B91D1" w:rsidR="005B1BD6" w:rsidRPr="007A1EC5" w:rsidRDefault="005B1BD6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7A1EC5">
              <w:rPr>
                <w:rStyle w:val="cf21"/>
                <w:rFonts w:ascii="Arial" w:eastAsia="STZhongsong" w:hAnsi="Arial" w:cs="Arial"/>
              </w:rPr>
              <w:t>None</w:t>
            </w:r>
            <w:r w:rsidRPr="007A1EC5">
              <w:rPr>
                <w:rStyle w:val="cf31"/>
                <w:rFonts w:ascii="Arial" w:eastAsia="STZhongsong" w:hAnsi="Arial" w:cs="Arial"/>
              </w:rPr>
              <w:t>.</w:t>
            </w:r>
            <w:r w:rsidRPr="007A1EC5">
              <w:rPr>
                <w:rStyle w:val="cf41"/>
                <w:rFonts w:ascii="Arial" w:eastAsia="STZhongsong" w:hAnsi="Arial" w:cs="Arial"/>
              </w:rPr>
              <w:t xml:space="preserve"> </w:t>
            </w:r>
          </w:p>
          <w:p w14:paraId="6A40B123" w14:textId="77777777" w:rsidR="007E7D58" w:rsidRPr="00B46D37" w:rsidRDefault="007E7D58" w:rsidP="003E61B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68BDFD0C" w14:textId="77777777" w:rsidR="004A78E6" w:rsidRPr="007A1EC5" w:rsidRDefault="004A78E6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2" w:name="_DV_C144"/>
            <w:bookmarkStart w:id="3" w:name="_Ref377110627"/>
            <w:r w:rsidRPr="007A1EC5">
              <w:rPr>
                <w:rStyle w:val="cf01"/>
                <w:rFonts w:ascii="Arial" w:hAnsi="Arial" w:cs="Arial"/>
              </w:rPr>
              <w:t>[</w:t>
            </w:r>
            <w:r w:rsidRPr="007A1EC5">
              <w:rPr>
                <w:rStyle w:val="cf01"/>
                <w:rFonts w:ascii="Arial" w:hAnsi="Arial" w:cs="Arial"/>
                <w:b/>
                <w:bCs/>
                <w:i/>
                <w:iCs/>
              </w:rPr>
              <w:t>Guidance note: Delete as appropriate</w:t>
            </w:r>
            <w:r w:rsidRPr="007A1EC5">
              <w:rPr>
                <w:rStyle w:val="cf01"/>
                <w:rFonts w:ascii="Arial" w:hAnsi="Arial" w:cs="Arial"/>
              </w:rPr>
              <w:t>]</w:t>
            </w:r>
          </w:p>
          <w:p w14:paraId="1B81D5E4" w14:textId="77777777" w:rsidR="004A78E6" w:rsidRPr="007A1EC5" w:rsidRDefault="004A78E6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7A1EC5">
              <w:rPr>
                <w:rStyle w:val="cf21"/>
                <w:rFonts w:ascii="Arial" w:eastAsia="STZhongsong" w:hAnsi="Arial" w:cs="Arial"/>
              </w:rPr>
              <w:t xml:space="preserve">[Insert </w:t>
            </w:r>
            <w:r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Description: as set out [below] </w:t>
            </w:r>
            <w:r w:rsidRPr="007A1EC5">
              <w:rPr>
                <w:rStyle w:val="cf21"/>
                <w:rFonts w:ascii="Arial" w:eastAsia="STZhongsong" w:hAnsi="Arial" w:cs="Arial"/>
              </w:rPr>
              <w:t>OR</w:t>
            </w:r>
            <w:r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 [in Appendix 2 – Specification / Description]</w:t>
            </w:r>
          </w:p>
          <w:p w14:paraId="6065CEB6" w14:textId="5477EC2A" w:rsidR="007E7D58" w:rsidRDefault="00056D9A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Post-Deployment monitoring of seahorse hotels</w:t>
            </w:r>
            <w:r w:rsidR="004108B5">
              <w:rPr>
                <w:rFonts w:ascii="Arial" w:hAnsi="Arial" w:cs="Arial"/>
                <w:i/>
                <w:sz w:val="18"/>
                <w:szCs w:val="18"/>
              </w:rPr>
              <w:t xml:space="preserve"> to assess effectiveness of the hotels for providing refuge for seahorses. </w:t>
            </w:r>
          </w:p>
          <w:p w14:paraId="112A4477" w14:textId="77777777" w:rsidR="003E61BE" w:rsidRPr="00B46D37" w:rsidRDefault="003E61BE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bookmarkEnd w:id="2"/>
          <w:bookmarkEnd w:id="3"/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4860814B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3E61BE">
              <w:rPr>
                <w:rFonts w:ascii="Arial" w:hAnsi="Arial" w:cs="Arial"/>
                <w:sz w:val="18"/>
                <w:szCs w:val="18"/>
              </w:rPr>
              <w:t>15</w:t>
            </w:r>
            <w:r w:rsidR="004108B5">
              <w:rPr>
                <w:rFonts w:ascii="Arial" w:hAnsi="Arial" w:cs="Arial"/>
                <w:sz w:val="18"/>
                <w:szCs w:val="18"/>
              </w:rPr>
              <w:t>/05/2025 – 30/11/2025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7E7D58" w:rsidRPr="00B46D37" w:rsidRDefault="007E7D58" w:rsidP="003E61B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370F3486" w:rsidR="003E0478" w:rsidRDefault="007E7D5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4" w:name="_DV_C161"/>
            <w:bookmarkStart w:id="5" w:name="_Ref377110639"/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bookmarkEnd w:id="4"/>
            <w:bookmarkEnd w:id="5"/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6F23D40D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r w:rsidR="003E0478" w:rsidRPr="003E0478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[Guidance note: Please note that in respect of </w:t>
            </w:r>
            <w:r w:rsidR="001F7939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S</w:t>
            </w:r>
            <w:r w:rsidR="003E0478" w:rsidRPr="003E0478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ervices </w:t>
            </w:r>
            <w:r w:rsidR="003E0478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at paragraph 2.3 of Annex 2</w:t>
            </w:r>
            <w:r w:rsidR="001F7939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  <w:r w:rsidR="001F7939" w:rsidRPr="001F7939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of the terms and conditions</w:t>
            </w:r>
            <w:r w:rsidR="003E0478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, </w:t>
            </w:r>
            <w:r w:rsidR="003E0478" w:rsidRPr="003E0478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that the Customer has the option to extend the Agreement by a further period of up to 6 months]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_Ref99635469"/>
            <w:bookmarkStart w:id="7" w:name="_Ref99635697"/>
            <w:bookmarkStart w:id="8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9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0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0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634AACBD" w14:textId="4A23C030" w:rsidR="003E61BE" w:rsidRDefault="003E61BE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2" w:name="_DV_M104"/>
            <w:bookmarkStart w:id="13" w:name="_DV_M110"/>
            <w:bookmarkEnd w:id="12"/>
            <w:bookmarkEnd w:id="13"/>
            <w:r>
              <w:rPr>
                <w:rFonts w:ascii="Arial" w:hAnsi="Arial" w:cs="Arial"/>
                <w:sz w:val="18"/>
                <w:szCs w:val="18"/>
              </w:rPr>
              <w:t xml:space="preserve">Payments will be made in pounds by BACS transfer using the details provided by the supplier on submission of a compliant invoice. </w:t>
            </w:r>
          </w:p>
          <w:p w14:paraId="01F4B443" w14:textId="77777777" w:rsidR="003E61BE" w:rsidRDefault="003E61BE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51C554" w14:textId="77777777" w:rsidR="003E61BE" w:rsidRDefault="003E61BE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EFA517" w14:textId="2515A33A" w:rsidR="007E7D58" w:rsidRPr="00B46D37" w:rsidRDefault="007E7D58" w:rsidP="003E61BE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6490A3A6" w:rsidR="009179C1" w:rsidRDefault="003646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9179C1"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="009179C1"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  <w:r w:rsidR="00C110C4" w:rsidRPr="007940DD">
              <w:rPr>
                <w:rFonts w:ascii="Arial" w:hAnsi="Arial" w:cs="Arial"/>
                <w:sz w:val="18"/>
                <w:szCs w:val="18"/>
              </w:rPr>
              <w:t>]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7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3B8809F0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6D3AB7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[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A][B</w:t>
            </w:r>
            <w:r w:rsidR="0062693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(Default Option)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][C</w:t>
            </w:r>
            <w:r w:rsidRPr="006D3AB7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]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527DEC1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15998FB2" w14:textId="1B97B30D" w:rsidR="007E7D58" w:rsidRPr="00775FBA" w:rsidRDefault="0062693F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Default Option- </w:t>
            </w:r>
            <w:r w:rsidR="007E7D58"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Option B: Customer ownership of all New IPR with limited Contractor rights to all New IPR in order to deliver the Agreement.</w:t>
            </w:r>
          </w:p>
          <w:p w14:paraId="3F2A63A0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0C9C41A8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>Progress Meetings and Progress Reports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22A86174" w:rsidR="007E7D58" w:rsidRPr="00060369" w:rsidRDefault="00851CEF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 per RfQ – to be discussed on during start up meeting.</w:t>
            </w:r>
          </w:p>
          <w:p w14:paraId="51C36616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4AC4472A" w14:textId="5C24AA1C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57A8B2AF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[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Guidance note: See clause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20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of the term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s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and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conditions for further details]</w:t>
                  </w: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5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1A0B0D6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[Guidance note: List names of any</w:t>
                  </w:r>
                  <w:r w:rsidR="00E567F8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Contractor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Key Personnel required to deliver the Agreement, and their contact details – see clause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6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of the terms and conditions for further details]</w:t>
                  </w: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6"/>
          </w:p>
        </w:tc>
        <w:tc>
          <w:tcPr>
            <w:tcW w:w="3587" w:type="pct"/>
            <w:gridSpan w:val="2"/>
            <w:shd w:val="clear" w:color="auto" w:fill="auto"/>
          </w:tcPr>
          <w:p w14:paraId="4537152F" w14:textId="77777777" w:rsidR="007E7D58" w:rsidRDefault="00687FCE" w:rsidP="00687FC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15B134C6" w14:textId="77777777" w:rsidR="00687FCE" w:rsidRDefault="00687FCE" w:rsidP="00687FC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CF26980" w14:textId="77777777" w:rsidR="00687FCE" w:rsidRDefault="00687FCE" w:rsidP="00687FC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A1E155" w14:textId="4578F950" w:rsidR="00687FCE" w:rsidRPr="00060369" w:rsidRDefault="00687FCE" w:rsidP="00687FC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7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7"/>
          </w:p>
        </w:tc>
        <w:tc>
          <w:tcPr>
            <w:tcW w:w="3587" w:type="pct"/>
            <w:gridSpan w:val="2"/>
            <w:shd w:val="clear" w:color="auto" w:fill="auto"/>
          </w:tcPr>
          <w:p w14:paraId="7F50F9E5" w14:textId="77777777" w:rsidR="007E7D58" w:rsidRDefault="007E7D58" w:rsidP="007E7D5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1 - 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Insert terms to revise or supplement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the terms and c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onditions, or enter ‘N/A’ and delete the extra rows below for example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 but not exhaustive:</w:t>
            </w:r>
          </w:p>
          <w:p w14:paraId="03BB64E6" w14:textId="77777777" w:rsidR="007E7D5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longer extension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period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; </w:t>
            </w:r>
          </w:p>
          <w:p w14:paraId="3055F4D4" w14:textId="77777777" w:rsidR="00E567F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time being of the essence for delivery</w:t>
            </w: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</w:rPr>
              <w:t>]</w:t>
            </w:r>
          </w:p>
          <w:p w14:paraId="60926B12" w14:textId="77777777" w:rsidR="00E567F8" w:rsidRDefault="00E567F8" w:rsidP="00E567F8">
            <w:pPr>
              <w:pStyle w:val="ListParagraph"/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  <w:p w14:paraId="471A725E" w14:textId="6B5615E2" w:rsidR="007E7D58" w:rsidRPr="00E567F8" w:rsidRDefault="007E7D58" w:rsidP="00E567F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E567F8">
              <w:rPr>
                <w:rFonts w:ascii="Arial" w:eastAsia="Arial" w:hAnsi="Arial" w:cs="Arial"/>
                <w:b/>
                <w:i/>
                <w:sz w:val="18"/>
                <w:szCs w:val="18"/>
              </w:rPr>
              <w:t>[</w:t>
            </w:r>
            <w:r w:rsidRPr="00E567F8">
              <w:rPr>
                <w:rFonts w:ascii="Arial" w:eastAsia="Arial" w:hAnsi="Arial" w:cs="Arial"/>
                <w:b/>
                <w:i/>
                <w:sz w:val="18"/>
                <w:szCs w:val="18"/>
                <w:highlight w:val="cyan"/>
              </w:rPr>
              <w:t>Guidance note: Always seek legal advice when including special terms which revise or supplement the standard terms and conditions.]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13248D8F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3DE17D05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FC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46BBF1B8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25E18C4C" w14:textId="0CC0C487" w:rsidR="00964799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 xml:space="preserve">[Guidance note: Please note that </w:t>
      </w:r>
      <w:r w:rsidR="00E567F8">
        <w:rPr>
          <w:rFonts w:ascii="Arial" w:hAnsi="Arial" w:cs="Arial"/>
          <w:b/>
          <w:i/>
          <w:sz w:val="18"/>
          <w:szCs w:val="18"/>
          <w:highlight w:val="cyan"/>
        </w:rPr>
        <w:t>typically the Contractor should sign first and return the copy to the Customer to sign</w:t>
      </w:r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>]</w:t>
      </w: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lastRenderedPageBreak/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5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6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26C42" w14:textId="77777777" w:rsidR="0033649A" w:rsidRDefault="0033649A" w:rsidP="006D4D44">
      <w:r>
        <w:separator/>
      </w:r>
    </w:p>
  </w:endnote>
  <w:endnote w:type="continuationSeparator" w:id="0">
    <w:p w14:paraId="257D1E67" w14:textId="77777777" w:rsidR="0033649A" w:rsidRDefault="0033649A" w:rsidP="006D4D44">
      <w:r>
        <w:continuationSeparator/>
      </w:r>
    </w:p>
  </w:endnote>
  <w:endnote w:type="continuationNotice" w:id="1">
    <w:p w14:paraId="55905FED" w14:textId="77777777" w:rsidR="0033649A" w:rsidRDefault="003364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2EBA4" w14:textId="77777777" w:rsidR="0033649A" w:rsidRDefault="0033649A" w:rsidP="006D4D44">
      <w:r>
        <w:separator/>
      </w:r>
    </w:p>
  </w:footnote>
  <w:footnote w:type="continuationSeparator" w:id="0">
    <w:p w14:paraId="5CEC8491" w14:textId="77777777" w:rsidR="0033649A" w:rsidRDefault="0033649A" w:rsidP="006D4D44">
      <w:r>
        <w:continuationSeparator/>
      </w:r>
    </w:p>
  </w:footnote>
  <w:footnote w:type="continuationNotice" w:id="1">
    <w:p w14:paraId="28263DBF" w14:textId="77777777" w:rsidR="0033649A" w:rsidRDefault="003364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56D9A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3649A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E61BE"/>
    <w:rsid w:val="003F2057"/>
    <w:rsid w:val="003F40DF"/>
    <w:rsid w:val="004028F1"/>
    <w:rsid w:val="004108B5"/>
    <w:rsid w:val="00417BD4"/>
    <w:rsid w:val="0042045B"/>
    <w:rsid w:val="00420833"/>
    <w:rsid w:val="00425D5F"/>
    <w:rsid w:val="00431E7C"/>
    <w:rsid w:val="00447C13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87454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87FCE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00746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1CEF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58FC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76246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find-and-update.company-information.service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2.xml><?xml version="1.0" encoding="utf-8"?>
<ds:datastoreItem xmlns:ds="http://schemas.openxmlformats.org/officeDocument/2006/customXml" ds:itemID="{3F3AD3F9-06A6-48BD-A642-3C529CB2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Woollard, Sian</cp:lastModifiedBy>
  <cp:revision>6</cp:revision>
  <dcterms:created xsi:type="dcterms:W3CDTF">2025-03-10T11:35:00Z</dcterms:created>
  <dcterms:modified xsi:type="dcterms:W3CDTF">2025-03-10T11:56:00Z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