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F7E8" w14:textId="77777777" w:rsidR="007674B5" w:rsidRDefault="00000000">
      <w:pPr>
        <w:widowControl w:val="0"/>
        <w:pBdr>
          <w:top w:val="nil"/>
          <w:left w:val="nil"/>
          <w:bottom w:val="nil"/>
          <w:right w:val="nil"/>
          <w:between w:val="nil"/>
        </w:pBdr>
        <w:spacing w:line="240" w:lineRule="auto"/>
        <w:ind w:left="3589"/>
        <w:rPr>
          <w:color w:val="000000"/>
        </w:rPr>
      </w:pPr>
      <w:r>
        <w:rPr>
          <w:noProof/>
          <w:color w:val="000000"/>
        </w:rPr>
        <w:drawing>
          <wp:inline distT="19050" distB="19050" distL="19050" distR="19050" wp14:anchorId="15F97D3D" wp14:editId="1F465A90">
            <wp:extent cx="753110" cy="753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53110" cy="753110"/>
                    </a:xfrm>
                    <a:prstGeom prst="rect">
                      <a:avLst/>
                    </a:prstGeom>
                    <a:ln/>
                  </pic:spPr>
                </pic:pic>
              </a:graphicData>
            </a:graphic>
          </wp:inline>
        </w:drawing>
      </w:r>
    </w:p>
    <w:p w14:paraId="75F16927" w14:textId="77777777" w:rsidR="007674B5" w:rsidRDefault="00000000">
      <w:pPr>
        <w:widowControl w:val="0"/>
        <w:pBdr>
          <w:top w:val="nil"/>
          <w:left w:val="nil"/>
          <w:bottom w:val="nil"/>
          <w:right w:val="nil"/>
          <w:between w:val="nil"/>
        </w:pBdr>
        <w:spacing w:line="240" w:lineRule="auto"/>
        <w:ind w:left="2766"/>
        <w:rPr>
          <w:rFonts w:ascii="Times New Roman" w:eastAsia="Times New Roman" w:hAnsi="Times New Roman" w:cs="Times New Roman"/>
          <w:b/>
          <w:color w:val="000000"/>
          <w:sz w:val="43"/>
          <w:szCs w:val="43"/>
        </w:rPr>
      </w:pPr>
      <w:r>
        <w:rPr>
          <w:rFonts w:ascii="Times New Roman" w:eastAsia="Times New Roman" w:hAnsi="Times New Roman" w:cs="Times New Roman"/>
          <w:b/>
          <w:color w:val="000000"/>
          <w:sz w:val="43"/>
          <w:szCs w:val="43"/>
          <w:u w:val="single"/>
        </w:rPr>
        <w:t>Prenton RUFC</w:t>
      </w:r>
      <w:r>
        <w:rPr>
          <w:rFonts w:ascii="Times New Roman" w:eastAsia="Times New Roman" w:hAnsi="Times New Roman" w:cs="Times New Roman"/>
          <w:b/>
          <w:color w:val="000000"/>
          <w:sz w:val="43"/>
          <w:szCs w:val="43"/>
        </w:rPr>
        <w:t xml:space="preserve"> </w:t>
      </w:r>
    </w:p>
    <w:p w14:paraId="495BF055" w14:textId="77777777" w:rsidR="007674B5" w:rsidRDefault="00000000">
      <w:pPr>
        <w:widowControl w:val="0"/>
        <w:pBdr>
          <w:top w:val="nil"/>
          <w:left w:val="nil"/>
          <w:bottom w:val="nil"/>
          <w:right w:val="nil"/>
          <w:between w:val="nil"/>
        </w:pBdr>
        <w:spacing w:before="185" w:line="240" w:lineRule="auto"/>
        <w:ind w:left="334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Founded 1992 </w:t>
      </w:r>
    </w:p>
    <w:p w14:paraId="671FCDC2" w14:textId="39362D5D" w:rsidR="007674B5" w:rsidRDefault="00A27DB9">
      <w:pPr>
        <w:widowControl w:val="0"/>
        <w:pBdr>
          <w:top w:val="nil"/>
          <w:left w:val="nil"/>
          <w:bottom w:val="nil"/>
          <w:right w:val="nil"/>
          <w:between w:val="nil"/>
        </w:pBdr>
        <w:spacing w:line="240" w:lineRule="auto"/>
        <w:ind w:left="2014"/>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INVITATION TO TENDER</w:t>
      </w:r>
    </w:p>
    <w:p w14:paraId="4A25865C" w14:textId="0D265A39" w:rsidR="007674B5" w:rsidRDefault="00000000">
      <w:pPr>
        <w:widowControl w:val="0"/>
        <w:pBdr>
          <w:top w:val="nil"/>
          <w:left w:val="nil"/>
          <w:bottom w:val="nil"/>
          <w:right w:val="nil"/>
          <w:between w:val="nil"/>
        </w:pBdr>
        <w:spacing w:before="292" w:line="240" w:lineRule="auto"/>
        <w:ind w:left="46"/>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1. </w:t>
      </w:r>
      <w:r w:rsidR="00A27DB9">
        <w:rPr>
          <w:rFonts w:ascii="Times New Roman" w:eastAsia="Times New Roman" w:hAnsi="Times New Roman" w:cs="Times New Roman"/>
          <w:b/>
          <w:color w:val="C00000"/>
          <w:sz w:val="24"/>
          <w:szCs w:val="24"/>
          <w:u w:val="single"/>
        </w:rPr>
        <w:t>WORK PACKAGE</w:t>
      </w:r>
    </w:p>
    <w:p w14:paraId="1CA04D11" w14:textId="3F99F1FA" w:rsidR="007674B5" w:rsidRP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sidRPr="00A27DB9">
        <w:rPr>
          <w:rFonts w:ascii="Times New Roman" w:eastAsia="Times New Roman" w:hAnsi="Times New Roman" w:cs="Times New Roman"/>
          <w:color w:val="404040"/>
        </w:rPr>
        <w:t xml:space="preserve">The work package being procured under this invitation to tender is the </w:t>
      </w:r>
      <w:r w:rsidR="00DF1C8E">
        <w:rPr>
          <w:rFonts w:ascii="Times New Roman" w:eastAsia="Times New Roman" w:hAnsi="Times New Roman" w:cs="Times New Roman"/>
          <w:color w:val="404040"/>
        </w:rPr>
        <w:t>Main Contract for the Changing Rooms, Community Hub and New Entrance.  The Site Wide Drainage, Groundwork for the three extensions and the slab for the LPG tank base have been tendered under a separate work package.  This work package will pick up the buildings from Damp Proof Course to completion including all internal finishes.</w:t>
      </w:r>
    </w:p>
    <w:p w14:paraId="7C48A799" w14:textId="4493ECC2" w:rsidR="007674B5" w:rsidRDefault="00000000">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2. </w:t>
      </w:r>
      <w:r w:rsidR="00A27DB9">
        <w:rPr>
          <w:rFonts w:ascii="Times New Roman" w:eastAsia="Times New Roman" w:hAnsi="Times New Roman" w:cs="Times New Roman"/>
          <w:b/>
          <w:color w:val="C00000"/>
          <w:sz w:val="24"/>
          <w:szCs w:val="24"/>
          <w:u w:val="single"/>
        </w:rPr>
        <w:t>CLIENT REQUIREMENTS</w:t>
      </w:r>
    </w:p>
    <w:p w14:paraId="0A529E8F" w14:textId="58DAFEAB" w:rsidR="007674B5"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client requires that the works are carried out in accordance with the drawings provided by Evoke Architecture and AJF for both the structural elements and the drainage requirements.</w:t>
      </w:r>
      <w:r w:rsidR="00DF1C8E">
        <w:rPr>
          <w:rFonts w:ascii="Times New Roman" w:eastAsia="Times New Roman" w:hAnsi="Times New Roman" w:cs="Times New Roman"/>
          <w:color w:val="404040"/>
        </w:rPr>
        <w:t xml:space="preserve">  In addition to the tender documents and specification.  We are awaiting the mechanical and electrical design and hope to issue this to the prospective budders during the tender period as a tender addendum.</w:t>
      </w:r>
    </w:p>
    <w:p w14:paraId="5988A9D7" w14:textId="31978015" w:rsidR="00A27DB9" w:rsidRDefault="00A27DB9" w:rsidP="00A27DB9">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3. </w:t>
      </w:r>
      <w:r>
        <w:rPr>
          <w:rFonts w:ascii="Times New Roman" w:eastAsia="Times New Roman" w:hAnsi="Times New Roman" w:cs="Times New Roman"/>
          <w:b/>
          <w:color w:val="C00000"/>
          <w:sz w:val="24"/>
          <w:szCs w:val="24"/>
          <w:u w:val="single"/>
        </w:rPr>
        <w:t>TENDER EXPECTATIONS</w:t>
      </w:r>
    </w:p>
    <w:p w14:paraId="69A10513" w14:textId="0F1201B7"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club expects that the tendering contractors will comply with all of the tender documents and the return shall be in the format issued as part of the tender.  For the avoidance of doubt this means the excel schedule of works “</w:t>
      </w:r>
      <w:r w:rsidRPr="00A27DB9">
        <w:rPr>
          <w:rFonts w:ascii="Times New Roman" w:eastAsia="Times New Roman" w:hAnsi="Times New Roman" w:cs="Times New Roman"/>
          <w:color w:val="404040"/>
        </w:rPr>
        <w:t xml:space="preserve">Prenton RFU </w:t>
      </w:r>
      <w:r w:rsidR="00DF1C8E">
        <w:rPr>
          <w:rFonts w:ascii="Times New Roman" w:eastAsia="Times New Roman" w:hAnsi="Times New Roman" w:cs="Times New Roman"/>
          <w:color w:val="404040"/>
        </w:rPr>
        <w:t>Community Hub</w:t>
      </w:r>
      <w:r w:rsidRPr="00A27DB9">
        <w:rPr>
          <w:rFonts w:ascii="Times New Roman" w:eastAsia="Times New Roman" w:hAnsi="Times New Roman" w:cs="Times New Roman"/>
          <w:color w:val="404040"/>
        </w:rPr>
        <w:t xml:space="preserve"> SoW </w:t>
      </w:r>
      <w:r w:rsidR="00DF1C8E">
        <w:rPr>
          <w:rFonts w:ascii="Times New Roman" w:eastAsia="Times New Roman" w:hAnsi="Times New Roman" w:cs="Times New Roman"/>
          <w:color w:val="404040"/>
        </w:rPr>
        <w:t>–</w:t>
      </w:r>
      <w:r w:rsidRPr="00A27DB9">
        <w:rPr>
          <w:rFonts w:ascii="Times New Roman" w:eastAsia="Times New Roman" w:hAnsi="Times New Roman" w:cs="Times New Roman"/>
          <w:color w:val="404040"/>
        </w:rPr>
        <w:t xml:space="preserve"> </w:t>
      </w:r>
      <w:r w:rsidR="00DF1C8E">
        <w:rPr>
          <w:rFonts w:ascii="Times New Roman" w:eastAsia="Times New Roman" w:hAnsi="Times New Roman" w:cs="Times New Roman"/>
          <w:color w:val="404040"/>
        </w:rPr>
        <w:t>Main Contract</w:t>
      </w:r>
      <w:r>
        <w:rPr>
          <w:rFonts w:ascii="Times New Roman" w:eastAsia="Times New Roman" w:hAnsi="Times New Roman" w:cs="Times New Roman"/>
          <w:color w:val="404040"/>
        </w:rPr>
        <w:t>”</w:t>
      </w:r>
    </w:p>
    <w:p w14:paraId="14C9A37B" w14:textId="15F94DC1"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In parallel to the tendering of this </w:t>
      </w:r>
      <w:r w:rsidR="008E1319">
        <w:rPr>
          <w:rFonts w:ascii="Times New Roman" w:eastAsia="Times New Roman" w:hAnsi="Times New Roman" w:cs="Times New Roman"/>
          <w:color w:val="404040"/>
        </w:rPr>
        <w:t>work package</w:t>
      </w:r>
      <w:r>
        <w:rPr>
          <w:rFonts w:ascii="Times New Roman" w:eastAsia="Times New Roman" w:hAnsi="Times New Roman" w:cs="Times New Roman"/>
          <w:color w:val="404040"/>
        </w:rPr>
        <w:t>, the club will be tendering the “</w:t>
      </w:r>
      <w:r w:rsidR="00DF1C8E">
        <w:rPr>
          <w:rFonts w:ascii="Times New Roman" w:eastAsia="Times New Roman" w:hAnsi="Times New Roman" w:cs="Times New Roman"/>
          <w:color w:val="404040"/>
        </w:rPr>
        <w:t>site wide drainage and groundworks</w:t>
      </w:r>
      <w:r>
        <w:rPr>
          <w:rFonts w:ascii="Times New Roman" w:eastAsia="Times New Roman" w:hAnsi="Times New Roman" w:cs="Times New Roman"/>
          <w:color w:val="404040"/>
        </w:rPr>
        <w:t xml:space="preserve">” which </w:t>
      </w:r>
      <w:r w:rsidR="00DF1C8E">
        <w:rPr>
          <w:rFonts w:ascii="Times New Roman" w:eastAsia="Times New Roman" w:hAnsi="Times New Roman" w:cs="Times New Roman"/>
          <w:color w:val="404040"/>
        </w:rPr>
        <w:t>is shall be awarded to the successful contractor before the tender return date for this work package.</w:t>
      </w:r>
    </w:p>
    <w:p w14:paraId="187D4805" w14:textId="52FFCB46"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As the works are to be funded using public money, a formal tender process is required for the procurement of this </w:t>
      </w:r>
      <w:r w:rsidR="008E1319">
        <w:rPr>
          <w:rFonts w:ascii="Times New Roman" w:eastAsia="Times New Roman" w:hAnsi="Times New Roman" w:cs="Times New Roman"/>
          <w:color w:val="404040"/>
        </w:rPr>
        <w:t>work package</w:t>
      </w:r>
      <w:r>
        <w:rPr>
          <w:rFonts w:ascii="Times New Roman" w:eastAsia="Times New Roman" w:hAnsi="Times New Roman" w:cs="Times New Roman"/>
          <w:color w:val="404040"/>
        </w:rPr>
        <w:t xml:space="preserve"> due to the anticipated value exceeding £25,000.  In accordance with public procurement guidance, the tender will be published for a minimum of two weeks </w:t>
      </w:r>
      <w:r w:rsidR="00CF6BF0">
        <w:rPr>
          <w:rFonts w:ascii="Times New Roman" w:eastAsia="Times New Roman" w:hAnsi="Times New Roman" w:cs="Times New Roman"/>
          <w:color w:val="404040"/>
        </w:rPr>
        <w:t>on an as yet unspecified tender portal.</w:t>
      </w:r>
      <w:r>
        <w:rPr>
          <w:rFonts w:ascii="Times New Roman" w:eastAsia="Times New Roman" w:hAnsi="Times New Roman" w:cs="Times New Roman"/>
          <w:color w:val="404040"/>
        </w:rPr>
        <w:t xml:space="preserve"> </w:t>
      </w:r>
    </w:p>
    <w:p w14:paraId="3E0C7DA0" w14:textId="40FB889C" w:rsidR="00540F1E" w:rsidRDefault="00540F1E"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The club expects the tendering contractors to submit a fully detailed logic driven schedule detailing the completion of the </w:t>
      </w:r>
      <w:r w:rsidR="008E1319">
        <w:rPr>
          <w:rFonts w:ascii="Times New Roman" w:eastAsia="Times New Roman" w:hAnsi="Times New Roman" w:cs="Times New Roman"/>
          <w:color w:val="404040"/>
        </w:rPr>
        <w:t>work package</w:t>
      </w:r>
      <w:r>
        <w:rPr>
          <w:rFonts w:ascii="Times New Roman" w:eastAsia="Times New Roman" w:hAnsi="Times New Roman" w:cs="Times New Roman"/>
          <w:color w:val="404040"/>
        </w:rPr>
        <w:t xml:space="preserve"> as part of the tender return.</w:t>
      </w:r>
    </w:p>
    <w:p w14:paraId="689F02C1" w14:textId="017DB25A" w:rsidR="00CF6BF0" w:rsidRDefault="00CF6BF0" w:rsidP="00CF6BF0">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4. </w:t>
      </w:r>
      <w:r>
        <w:rPr>
          <w:rFonts w:ascii="Times New Roman" w:eastAsia="Times New Roman" w:hAnsi="Times New Roman" w:cs="Times New Roman"/>
          <w:b/>
          <w:color w:val="C00000"/>
          <w:sz w:val="24"/>
          <w:szCs w:val="24"/>
          <w:u w:val="single"/>
        </w:rPr>
        <w:t>TENDER RETURN</w:t>
      </w:r>
    </w:p>
    <w:p w14:paraId="373982A7" w14:textId="35A8F717"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The tender should be returned no later than midday on Friday </w:t>
      </w:r>
      <w:r w:rsidR="00DF1C8E">
        <w:rPr>
          <w:rFonts w:ascii="Times New Roman" w:eastAsia="Times New Roman" w:hAnsi="Times New Roman" w:cs="Times New Roman"/>
          <w:color w:val="404040"/>
        </w:rPr>
        <w:t>6</w:t>
      </w:r>
      <w:r w:rsidR="00DF1C8E" w:rsidRPr="00DF1C8E">
        <w:rPr>
          <w:rFonts w:ascii="Times New Roman" w:eastAsia="Times New Roman" w:hAnsi="Times New Roman" w:cs="Times New Roman"/>
          <w:color w:val="404040"/>
          <w:vertAlign w:val="superscript"/>
        </w:rPr>
        <w:t>th</w:t>
      </w:r>
      <w:r w:rsidR="00DF1C8E">
        <w:rPr>
          <w:rFonts w:ascii="Times New Roman" w:eastAsia="Times New Roman" w:hAnsi="Times New Roman" w:cs="Times New Roman"/>
          <w:color w:val="404040"/>
        </w:rPr>
        <w:t xml:space="preserve"> June</w:t>
      </w:r>
      <w:r>
        <w:rPr>
          <w:rFonts w:ascii="Times New Roman" w:eastAsia="Times New Roman" w:hAnsi="Times New Roman" w:cs="Times New Roman"/>
          <w:color w:val="404040"/>
        </w:rPr>
        <w:t xml:space="preserve"> 2025.  The tender should be marked “Commercial in Confidence” and returned to the contract administrator.  For the avoidance of doubt the contact details for the contract administrator are as follows:</w:t>
      </w:r>
    </w:p>
    <w:p w14:paraId="68CA04FC" w14:textId="77777777" w:rsidR="00CF6BF0" w:rsidRDefault="00CF6BF0">
      <w:pPr>
        <w:rPr>
          <w:rFonts w:ascii="Times New Roman" w:eastAsia="Times New Roman" w:hAnsi="Times New Roman" w:cs="Times New Roman"/>
          <w:color w:val="404040"/>
        </w:rPr>
      </w:pPr>
      <w:r>
        <w:rPr>
          <w:rFonts w:ascii="Times New Roman" w:eastAsia="Times New Roman" w:hAnsi="Times New Roman" w:cs="Times New Roman"/>
          <w:color w:val="404040"/>
        </w:rPr>
        <w:br w:type="page"/>
      </w:r>
    </w:p>
    <w:p w14:paraId="0E1FE219" w14:textId="7C8A82D4"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lastRenderedPageBreak/>
        <w:t>Tony Campbell</w:t>
      </w:r>
    </w:p>
    <w:p w14:paraId="0289F8B0" w14:textId="1CFC129D"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hyperlink r:id="rId7" w:history="1">
        <w:r w:rsidRPr="006E0A4B">
          <w:rPr>
            <w:rStyle w:val="Hyperlink"/>
            <w:rFonts w:ascii="Times New Roman" w:eastAsia="Times New Roman" w:hAnsi="Times New Roman" w:cs="Times New Roman"/>
          </w:rPr>
          <w:t>tony@tpqs.co.uk</w:t>
        </w:r>
      </w:hyperlink>
    </w:p>
    <w:p w14:paraId="2ED20DFD" w14:textId="10F92E83"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07714 007 677</w:t>
      </w:r>
    </w:p>
    <w:p w14:paraId="5E36CFAE" w14:textId="77777777"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club is not bound to accept the lowest or indeed any of the returned tenders.  The club will not accept any tender from a company which has not undertaken a site visit to familiarise themselves with the constraints of the site.</w:t>
      </w:r>
    </w:p>
    <w:p w14:paraId="345600A8" w14:textId="764E3BF3"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To arrange a site visit for the project, please contact the contract administrator and a convenient time and date will be arranged. </w:t>
      </w:r>
    </w:p>
    <w:p w14:paraId="1DE128A8" w14:textId="241C179E"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Any requests for information (RFI’s) or technical queries (TQ’s) should also be directed to the contract administrator in the first instance.</w:t>
      </w:r>
    </w:p>
    <w:p w14:paraId="4129093F" w14:textId="2D6A2BDC" w:rsidR="007674B5" w:rsidRDefault="00CF6BF0">
      <w:pPr>
        <w:widowControl w:val="0"/>
        <w:pBdr>
          <w:top w:val="nil"/>
          <w:left w:val="nil"/>
          <w:bottom w:val="nil"/>
          <w:right w:val="nil"/>
          <w:between w:val="nil"/>
        </w:pBdr>
        <w:spacing w:before="304" w:line="240" w:lineRule="auto"/>
        <w:ind w:left="34"/>
        <w:rPr>
          <w:rFonts w:ascii="Times New Roman" w:eastAsia="Times New Roman" w:hAnsi="Times New Roman" w:cs="Times New Roman"/>
          <w:b/>
          <w:color w:val="C00000"/>
        </w:rPr>
      </w:pPr>
      <w:r>
        <w:rPr>
          <w:rFonts w:ascii="Times New Roman" w:eastAsia="Times New Roman" w:hAnsi="Times New Roman" w:cs="Times New Roman"/>
          <w:b/>
          <w:color w:val="C00000"/>
        </w:rPr>
        <w:t xml:space="preserve">5. </w:t>
      </w:r>
      <w:r>
        <w:rPr>
          <w:rFonts w:ascii="Times New Roman" w:eastAsia="Times New Roman" w:hAnsi="Times New Roman" w:cs="Times New Roman"/>
          <w:b/>
          <w:color w:val="C00000"/>
          <w:u w:val="single"/>
        </w:rPr>
        <w:t>COMMERCIAL EXPECTATIONS</w:t>
      </w:r>
      <w:r>
        <w:rPr>
          <w:rFonts w:ascii="Times New Roman" w:eastAsia="Times New Roman" w:hAnsi="Times New Roman" w:cs="Times New Roman"/>
          <w:b/>
          <w:color w:val="C00000"/>
        </w:rPr>
        <w:t xml:space="preserve"> </w:t>
      </w:r>
    </w:p>
    <w:p w14:paraId="5E54804A" w14:textId="377E03D3" w:rsidR="007674B5"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 xml:space="preserve">The proposed commercial arrangement for the </w:t>
      </w:r>
      <w:r w:rsidR="008E1319">
        <w:rPr>
          <w:rFonts w:ascii="Times New Roman" w:eastAsia="Times New Roman" w:hAnsi="Times New Roman" w:cs="Times New Roman"/>
          <w:color w:val="404040"/>
        </w:rPr>
        <w:t>work package</w:t>
      </w:r>
      <w:r>
        <w:rPr>
          <w:rFonts w:ascii="Times New Roman" w:eastAsia="Times New Roman" w:hAnsi="Times New Roman" w:cs="Times New Roman"/>
          <w:color w:val="404040"/>
        </w:rPr>
        <w:t xml:space="preserve"> is as follows:</w:t>
      </w:r>
    </w:p>
    <w:p w14:paraId="2C1E4FF8" w14:textId="0E188A07"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Contract Form: JCT Minor Works</w:t>
      </w:r>
    </w:p>
    <w:p w14:paraId="1F7ECDCF" w14:textId="50CF60F6"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 xml:space="preserve">Payment Terms: Monthly valuations with </w:t>
      </w:r>
      <w:r w:rsidR="008E1319">
        <w:rPr>
          <w:rFonts w:ascii="Times New Roman" w:eastAsia="Times New Roman" w:hAnsi="Times New Roman" w:cs="Times New Roman"/>
          <w:color w:val="404040"/>
        </w:rPr>
        <w:t>30-day</w:t>
      </w:r>
      <w:r>
        <w:rPr>
          <w:rFonts w:ascii="Times New Roman" w:eastAsia="Times New Roman" w:hAnsi="Times New Roman" w:cs="Times New Roman"/>
          <w:color w:val="404040"/>
        </w:rPr>
        <w:t xml:space="preserve"> payment terms</w:t>
      </w:r>
    </w:p>
    <w:p w14:paraId="28BE22E9" w14:textId="44E4B471"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 xml:space="preserve">Retention: </w:t>
      </w:r>
      <w:r w:rsidR="00455C56">
        <w:rPr>
          <w:rFonts w:ascii="Times New Roman" w:eastAsia="Times New Roman" w:hAnsi="Times New Roman" w:cs="Times New Roman"/>
          <w:color w:val="404040"/>
        </w:rPr>
        <w:t xml:space="preserve">5% with 2.5% released upon practical completion and the remaining 2.5% released on expiry of the </w:t>
      </w:r>
      <w:r w:rsidR="008E1319">
        <w:rPr>
          <w:rFonts w:ascii="Times New Roman" w:eastAsia="Times New Roman" w:hAnsi="Times New Roman" w:cs="Times New Roman"/>
          <w:color w:val="404040"/>
        </w:rPr>
        <w:t>defect’s</w:t>
      </w:r>
      <w:r w:rsidR="00455C56">
        <w:rPr>
          <w:rFonts w:ascii="Times New Roman" w:eastAsia="Times New Roman" w:hAnsi="Times New Roman" w:cs="Times New Roman"/>
          <w:color w:val="404040"/>
        </w:rPr>
        <w:t xml:space="preserve"> liability period</w:t>
      </w:r>
    </w:p>
    <w:p w14:paraId="131F0541" w14:textId="6DDE5BAC"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Defects Liability Period: 12 months</w:t>
      </w:r>
    </w:p>
    <w:p w14:paraId="0BA4CFD8" w14:textId="22F2F43F"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 xml:space="preserve">Liquidated Damages: </w:t>
      </w:r>
      <w:r w:rsidR="00455C56">
        <w:rPr>
          <w:rFonts w:ascii="Times New Roman" w:eastAsia="Times New Roman" w:hAnsi="Times New Roman" w:cs="Times New Roman"/>
          <w:color w:val="404040"/>
        </w:rPr>
        <w:t>To be determined</w:t>
      </w:r>
    </w:p>
    <w:p w14:paraId="3086BD86" w14:textId="112994EB" w:rsidR="007674B5" w:rsidRDefault="00CF6BF0">
      <w:pPr>
        <w:widowControl w:val="0"/>
        <w:pBdr>
          <w:top w:val="nil"/>
          <w:left w:val="nil"/>
          <w:bottom w:val="nil"/>
          <w:right w:val="nil"/>
          <w:between w:val="nil"/>
        </w:pBdr>
        <w:spacing w:before="288" w:line="240" w:lineRule="auto"/>
        <w:ind w:left="35"/>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 xml:space="preserve">6. </w:t>
      </w:r>
      <w:r>
        <w:rPr>
          <w:rFonts w:ascii="Times New Roman" w:eastAsia="Times New Roman" w:hAnsi="Times New Roman" w:cs="Times New Roman"/>
          <w:b/>
          <w:color w:val="C00000"/>
          <w:sz w:val="24"/>
          <w:szCs w:val="24"/>
          <w:u w:val="single"/>
        </w:rPr>
        <w:t>SELECTION CRITERIA</w:t>
      </w:r>
      <w:r>
        <w:rPr>
          <w:rFonts w:ascii="Times New Roman" w:eastAsia="Times New Roman" w:hAnsi="Times New Roman" w:cs="Times New Roman"/>
          <w:b/>
          <w:color w:val="C00000"/>
          <w:sz w:val="24"/>
          <w:szCs w:val="24"/>
        </w:rPr>
        <w:t xml:space="preserve"> </w:t>
      </w:r>
    </w:p>
    <w:p w14:paraId="14F2F9DF" w14:textId="40F47BEC"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tenders will be evaluated by a minimum of two people to remove contractor bias.  The tenders will be scored against the following criteria:</w:t>
      </w:r>
    </w:p>
    <w:p w14:paraId="651EE365" w14:textId="2DF3DF9B"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Price: 50%</w:t>
      </w:r>
    </w:p>
    <w:p w14:paraId="5245E9DB" w14:textId="508DBAAE"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Programme: 40%</w:t>
      </w:r>
    </w:p>
    <w:p w14:paraId="67D73D6F" w14:textId="06578CA5"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sidRPr="00540F1E">
        <w:rPr>
          <w:rFonts w:ascii="Times New Roman" w:eastAsia="Times New Roman" w:hAnsi="Times New Roman" w:cs="Times New Roman"/>
          <w:color w:val="404040"/>
        </w:rPr>
        <w:t>Affirmative efforts to utilise local companies and small businesses</w:t>
      </w:r>
      <w:r>
        <w:rPr>
          <w:rFonts w:ascii="Times New Roman" w:eastAsia="Times New Roman" w:hAnsi="Times New Roman" w:cs="Times New Roman"/>
          <w:color w:val="404040"/>
        </w:rPr>
        <w:t>: 10%</w:t>
      </w:r>
    </w:p>
    <w:p w14:paraId="15D8E3B7" w14:textId="16B94926"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As such we expect the contractors to detail the above requirements within their tender return.</w:t>
      </w:r>
    </w:p>
    <w:sectPr w:rsidR="00540F1E">
      <w:footerReference w:type="default" r:id="rId8"/>
      <w:pgSz w:w="11900" w:h="16820"/>
      <w:pgMar w:top="1425" w:right="1149" w:bottom="1020" w:left="177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1F79C" w14:textId="77777777" w:rsidR="00F44290" w:rsidRDefault="00F44290" w:rsidP="00CF6BF0">
      <w:pPr>
        <w:spacing w:line="240" w:lineRule="auto"/>
      </w:pPr>
      <w:r>
        <w:separator/>
      </w:r>
    </w:p>
  </w:endnote>
  <w:endnote w:type="continuationSeparator" w:id="0">
    <w:p w14:paraId="553862E1" w14:textId="77777777" w:rsidR="00F44290" w:rsidRDefault="00F44290" w:rsidP="00CF6B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E4FB419-3D03-4BEA-9404-B9967D025BA9}"/>
    <w:embedItalic r:id="rId2" w:fontKey="{480BEC47-404B-41C8-A967-303B5F6D2975}"/>
  </w:font>
  <w:font w:name="Calibri">
    <w:panose1 w:val="020F0502020204030204"/>
    <w:charset w:val="00"/>
    <w:family w:val="swiss"/>
    <w:pitch w:val="variable"/>
    <w:sig w:usb0="E4002EFF" w:usb1="C000247B" w:usb2="00000009" w:usb3="00000000" w:csb0="000001FF" w:csb1="00000000"/>
    <w:embedRegular r:id="rId3" w:fontKey="{585A3FB5-452E-46B0-AB2F-93E3CFF092A4}"/>
  </w:font>
  <w:font w:name="Cambria">
    <w:panose1 w:val="02040503050406030204"/>
    <w:charset w:val="00"/>
    <w:family w:val="roman"/>
    <w:pitch w:val="variable"/>
    <w:sig w:usb0="E00006FF" w:usb1="420024FF" w:usb2="02000000" w:usb3="00000000" w:csb0="0000019F" w:csb1="00000000"/>
    <w:embedRegular r:id="rId4" w:fontKey="{912B6E9F-FA4D-42F2-A62F-FB21C5EBB3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4E2C" w14:textId="35DD0EB8" w:rsidR="00CF6BF0" w:rsidRDefault="00CF6BF0" w:rsidP="00CF6BF0">
    <w:pPr>
      <w:widowControl w:val="0"/>
      <w:pBdr>
        <w:top w:val="nil"/>
        <w:left w:val="nil"/>
        <w:bottom w:val="nil"/>
        <w:right w:val="nil"/>
        <w:between w:val="nil"/>
      </w:pBdr>
      <w:spacing w:before="668" w:line="230" w:lineRule="auto"/>
      <w:ind w:left="35" w:right="1740" w:hanging="1"/>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Prenton RUFC is the trading name of Prenton RUFC Limited Company Number 8295033 Registered office: The Clubhouse, Prenton Dell Road, Prenton Wirral, CH43 3BS Registered as a Charity with the Charity Commission of England and Wales Number 1194897</w:t>
    </w:r>
  </w:p>
  <w:p w14:paraId="0240900A" w14:textId="77777777" w:rsidR="00CF6BF0" w:rsidRDefault="00CF6BF0" w:rsidP="00CF6BF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9BBAB" w14:textId="77777777" w:rsidR="00F44290" w:rsidRDefault="00F44290" w:rsidP="00CF6BF0">
      <w:pPr>
        <w:spacing w:line="240" w:lineRule="auto"/>
      </w:pPr>
      <w:r>
        <w:separator/>
      </w:r>
    </w:p>
  </w:footnote>
  <w:footnote w:type="continuationSeparator" w:id="0">
    <w:p w14:paraId="7B4C0D56" w14:textId="77777777" w:rsidR="00F44290" w:rsidRDefault="00F44290" w:rsidP="00CF6BF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4B5"/>
    <w:rsid w:val="001F0915"/>
    <w:rsid w:val="00455C56"/>
    <w:rsid w:val="00540F1E"/>
    <w:rsid w:val="006A0F8E"/>
    <w:rsid w:val="007674B5"/>
    <w:rsid w:val="00820A1F"/>
    <w:rsid w:val="008E1319"/>
    <w:rsid w:val="00A27DB9"/>
    <w:rsid w:val="00CF6BF0"/>
    <w:rsid w:val="00DF1C8E"/>
    <w:rsid w:val="00F00E19"/>
    <w:rsid w:val="00F44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E7D9C"/>
  <w15:docId w15:val="{944E684C-30A6-46E8-AFAB-7F948E3F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F6BF0"/>
    <w:rPr>
      <w:color w:val="0000FF" w:themeColor="hyperlink"/>
      <w:u w:val="single"/>
    </w:rPr>
  </w:style>
  <w:style w:type="character" w:styleId="UnresolvedMention">
    <w:name w:val="Unresolved Mention"/>
    <w:basedOn w:val="DefaultParagraphFont"/>
    <w:uiPriority w:val="99"/>
    <w:semiHidden/>
    <w:unhideWhenUsed/>
    <w:rsid w:val="00CF6BF0"/>
    <w:rPr>
      <w:color w:val="605E5C"/>
      <w:shd w:val="clear" w:color="auto" w:fill="E1DFDD"/>
    </w:rPr>
  </w:style>
  <w:style w:type="paragraph" w:styleId="Header">
    <w:name w:val="header"/>
    <w:basedOn w:val="Normal"/>
    <w:link w:val="HeaderChar"/>
    <w:uiPriority w:val="99"/>
    <w:unhideWhenUsed/>
    <w:rsid w:val="00CF6BF0"/>
    <w:pPr>
      <w:tabs>
        <w:tab w:val="center" w:pos="4513"/>
        <w:tab w:val="right" w:pos="9026"/>
      </w:tabs>
      <w:spacing w:line="240" w:lineRule="auto"/>
    </w:pPr>
  </w:style>
  <w:style w:type="character" w:customStyle="1" w:styleId="HeaderChar">
    <w:name w:val="Header Char"/>
    <w:basedOn w:val="DefaultParagraphFont"/>
    <w:link w:val="Header"/>
    <w:uiPriority w:val="99"/>
    <w:rsid w:val="00CF6BF0"/>
  </w:style>
  <w:style w:type="paragraph" w:styleId="Footer">
    <w:name w:val="footer"/>
    <w:basedOn w:val="Normal"/>
    <w:link w:val="FooterChar"/>
    <w:uiPriority w:val="99"/>
    <w:unhideWhenUsed/>
    <w:rsid w:val="00CF6BF0"/>
    <w:pPr>
      <w:tabs>
        <w:tab w:val="center" w:pos="4513"/>
        <w:tab w:val="right" w:pos="9026"/>
      </w:tabs>
      <w:spacing w:line="240" w:lineRule="auto"/>
    </w:pPr>
  </w:style>
  <w:style w:type="character" w:customStyle="1" w:styleId="FooterChar">
    <w:name w:val="Footer Char"/>
    <w:basedOn w:val="DefaultParagraphFont"/>
    <w:link w:val="Footer"/>
    <w:uiPriority w:val="99"/>
    <w:rsid w:val="00CF6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ony@tpq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Campbell</cp:lastModifiedBy>
  <cp:revision>7</cp:revision>
  <dcterms:created xsi:type="dcterms:W3CDTF">2025-05-01T12:19:00Z</dcterms:created>
  <dcterms:modified xsi:type="dcterms:W3CDTF">2025-05-13T09:13:00Z</dcterms:modified>
</cp:coreProperties>
</file>