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40BB" w14:textId="766BCB39" w:rsidR="00E04595" w:rsidRPr="00D34DCC" w:rsidRDefault="00E04595" w:rsidP="0006115E">
      <w:pPr>
        <w:pStyle w:val="Default"/>
        <w:jc w:val="both"/>
        <w:rPr>
          <w:rFonts w:ascii="Open Sans" w:hAnsi="Open Sans" w:cs="Open Sans"/>
          <w:i/>
          <w:iCs/>
          <w:color w:val="FF0000"/>
          <w:sz w:val="22"/>
          <w:szCs w:val="22"/>
        </w:rPr>
      </w:pPr>
      <w:bookmarkStart w:id="0" w:name="_Hlk177554685"/>
    </w:p>
    <w:bookmarkEnd w:id="0"/>
    <w:p w14:paraId="7BD70399" w14:textId="77777777" w:rsidR="00E04595" w:rsidRPr="00D34DCC" w:rsidRDefault="00E04595" w:rsidP="0006115E">
      <w:pPr>
        <w:pStyle w:val="Default"/>
        <w:jc w:val="both"/>
        <w:rPr>
          <w:rFonts w:ascii="Open Sans" w:hAnsi="Open Sans" w:cs="Open Sans"/>
        </w:rPr>
      </w:pPr>
    </w:p>
    <w:p w14:paraId="02B1F13B" w14:textId="7FF937EB" w:rsidR="00E04595" w:rsidRPr="00D34DCC" w:rsidRDefault="00E04595" w:rsidP="0006115E">
      <w:pPr>
        <w:pStyle w:val="Default"/>
        <w:jc w:val="both"/>
        <w:rPr>
          <w:rFonts w:ascii="Open Sans" w:hAnsi="Open Sans" w:cs="Open Sans"/>
          <w:b/>
          <w:bCs/>
          <w:color w:val="005ABB"/>
          <w:sz w:val="72"/>
          <w:szCs w:val="72"/>
        </w:rPr>
      </w:pPr>
      <w:bookmarkStart w:id="1" w:name="_Hlk177554770"/>
    </w:p>
    <w:p w14:paraId="7F802697" w14:textId="77777777" w:rsidR="00E04595" w:rsidRPr="00D34DCC" w:rsidRDefault="00E04595" w:rsidP="0006115E">
      <w:pPr>
        <w:pStyle w:val="Default"/>
        <w:jc w:val="both"/>
        <w:rPr>
          <w:rFonts w:ascii="Open Sans" w:hAnsi="Open Sans" w:cs="Open Sans"/>
          <w:b/>
          <w:bCs/>
          <w:color w:val="005ABB"/>
          <w:sz w:val="72"/>
          <w:szCs w:val="72"/>
        </w:rPr>
      </w:pPr>
    </w:p>
    <w:p w14:paraId="72557DF8" w14:textId="2351D385" w:rsidR="00E04595" w:rsidRPr="00D34DCC" w:rsidRDefault="00EE0408" w:rsidP="0006115E">
      <w:pPr>
        <w:pStyle w:val="Default"/>
        <w:jc w:val="both"/>
        <w:rPr>
          <w:rFonts w:ascii="Open Sans" w:hAnsi="Open Sans" w:cs="Open Sans"/>
          <w:b/>
          <w:bCs/>
          <w:color w:val="005ABB"/>
          <w:sz w:val="72"/>
          <w:szCs w:val="72"/>
        </w:rPr>
      </w:pPr>
      <w:r w:rsidRPr="00D34DCC">
        <w:rPr>
          <w:rFonts w:ascii="Open Sans" w:hAnsi="Open Sans" w:cs="Open Sans"/>
          <w:b/>
          <w:bCs/>
          <w:color w:val="005ABB"/>
          <w:sz w:val="72"/>
          <w:szCs w:val="72"/>
        </w:rPr>
        <w:t>List of Eligible Users</w:t>
      </w:r>
    </w:p>
    <w:p w14:paraId="54CE8176" w14:textId="77777777" w:rsidR="00E04595" w:rsidRPr="00D34DCC" w:rsidRDefault="00E04595" w:rsidP="0006115E">
      <w:pPr>
        <w:pStyle w:val="Default"/>
        <w:jc w:val="both"/>
        <w:rPr>
          <w:rFonts w:ascii="Open Sans" w:hAnsi="Open Sans" w:cs="Open Sans"/>
          <w:b/>
          <w:bCs/>
          <w:color w:val="005ABB"/>
          <w:sz w:val="72"/>
          <w:szCs w:val="72"/>
        </w:rPr>
      </w:pPr>
    </w:p>
    <w:p w14:paraId="11497B24" w14:textId="77777777" w:rsidR="00E04595" w:rsidRPr="00D34DCC" w:rsidRDefault="00E04595" w:rsidP="0006115E">
      <w:pPr>
        <w:pStyle w:val="Default"/>
        <w:jc w:val="both"/>
        <w:rPr>
          <w:rFonts w:ascii="Open Sans" w:eastAsia="Calibri" w:hAnsi="Open Sans" w:cs="Open Sans"/>
          <w:b/>
          <w:bCs/>
          <w:color w:val="005ABB"/>
          <w:sz w:val="36"/>
          <w:szCs w:val="36"/>
        </w:rPr>
      </w:pPr>
    </w:p>
    <w:p w14:paraId="4B05BD70" w14:textId="36F6E112" w:rsidR="00E04595" w:rsidRPr="00D34DCC" w:rsidRDefault="00E04595" w:rsidP="0006115E">
      <w:pPr>
        <w:pStyle w:val="Default"/>
        <w:jc w:val="both"/>
        <w:rPr>
          <w:rFonts w:ascii="Open Sans" w:eastAsia="Calibri" w:hAnsi="Open Sans" w:cs="Open Sans"/>
          <w:b/>
          <w:bCs/>
          <w:color w:val="005ABB"/>
          <w:sz w:val="36"/>
          <w:szCs w:val="36"/>
        </w:rPr>
      </w:pPr>
      <w:r w:rsidRPr="00D34DCC">
        <w:rPr>
          <w:rFonts w:ascii="Open Sans" w:eastAsia="Calibri" w:hAnsi="Open Sans" w:cs="Open Sans"/>
          <w:b/>
          <w:bCs/>
          <w:color w:val="005ABB"/>
          <w:sz w:val="36"/>
          <w:szCs w:val="36"/>
        </w:rPr>
        <w:t xml:space="preserve">For: </w:t>
      </w:r>
      <w:r w:rsidR="00D34DCC" w:rsidRPr="00D34DCC">
        <w:rPr>
          <w:rFonts w:ascii="Open Sans" w:eastAsia="Calibri" w:hAnsi="Open Sans" w:cs="Open Sans"/>
          <w:color w:val="005ABB"/>
          <w:sz w:val="36"/>
          <w:szCs w:val="36"/>
          <w:lang w:val="en-GB"/>
        </w:rPr>
        <w:t>National Framework Agreement for Provision of Track and Traceability Systems</w:t>
      </w:r>
    </w:p>
    <w:p w14:paraId="364155B8" w14:textId="77777777" w:rsidR="00E04595" w:rsidRPr="00D34DCC" w:rsidRDefault="00E04595" w:rsidP="0006115E">
      <w:pPr>
        <w:pStyle w:val="Default"/>
        <w:jc w:val="both"/>
        <w:rPr>
          <w:rFonts w:ascii="Open Sans" w:eastAsia="Calibri" w:hAnsi="Open Sans" w:cs="Open Sans"/>
          <w:b/>
          <w:bCs/>
          <w:color w:val="005ABB"/>
          <w:sz w:val="36"/>
          <w:szCs w:val="36"/>
        </w:rPr>
      </w:pPr>
    </w:p>
    <w:p w14:paraId="03823A21" w14:textId="09219653" w:rsidR="00E04595" w:rsidRPr="00D34DCC" w:rsidRDefault="00E04595" w:rsidP="0006115E">
      <w:pPr>
        <w:pStyle w:val="Default"/>
        <w:jc w:val="both"/>
        <w:rPr>
          <w:rFonts w:ascii="Open Sans" w:eastAsia="Calibri" w:hAnsi="Open Sans" w:cs="Open Sans"/>
          <w:b/>
          <w:bCs/>
          <w:color w:val="auto"/>
          <w:sz w:val="36"/>
          <w:szCs w:val="36"/>
        </w:rPr>
      </w:pPr>
      <w:r w:rsidRPr="00D34DCC">
        <w:rPr>
          <w:rFonts w:ascii="Open Sans" w:eastAsia="Calibri" w:hAnsi="Open Sans" w:cs="Open Sans"/>
          <w:b/>
          <w:bCs/>
          <w:color w:val="005ABB"/>
          <w:sz w:val="36"/>
          <w:szCs w:val="36"/>
        </w:rPr>
        <w:t xml:space="preserve">Project Reference: </w:t>
      </w:r>
      <w:r w:rsidR="00D34DCC" w:rsidRPr="00D34DCC">
        <w:rPr>
          <w:rFonts w:ascii="Open Sans" w:eastAsia="Calibri" w:hAnsi="Open Sans" w:cs="Open Sans"/>
          <w:color w:val="005ABB"/>
          <w:sz w:val="36"/>
          <w:szCs w:val="36"/>
        </w:rPr>
        <w:t>F/110/TAT/26/JH</w:t>
      </w:r>
    </w:p>
    <w:p w14:paraId="35FCC600" w14:textId="77777777" w:rsidR="00E04595" w:rsidRPr="00D34DCC" w:rsidRDefault="00E04595" w:rsidP="0006115E">
      <w:pPr>
        <w:pStyle w:val="Default"/>
        <w:jc w:val="both"/>
        <w:rPr>
          <w:rFonts w:ascii="Open Sans" w:hAnsi="Open Sans" w:cs="Open Sans"/>
          <w:b/>
          <w:bCs/>
          <w:color w:val="005ABB"/>
          <w:sz w:val="36"/>
          <w:szCs w:val="36"/>
        </w:rPr>
      </w:pPr>
    </w:p>
    <w:bookmarkEnd w:id="1"/>
    <w:p w14:paraId="70A9FE3F" w14:textId="77777777" w:rsidR="00E04595" w:rsidRPr="00D34DCC" w:rsidRDefault="00E04595" w:rsidP="0006115E">
      <w:pPr>
        <w:pStyle w:val="Default"/>
        <w:jc w:val="both"/>
        <w:rPr>
          <w:rFonts w:ascii="Open Sans" w:hAnsi="Open Sans" w:cs="Open Sans"/>
          <w:highlight w:val="yellow"/>
        </w:rPr>
      </w:pPr>
    </w:p>
    <w:p w14:paraId="3A969516" w14:textId="77777777" w:rsidR="006F1022" w:rsidRPr="00D34DCC" w:rsidRDefault="006F1022" w:rsidP="0006115E">
      <w:pPr>
        <w:pStyle w:val="NoSpacing"/>
        <w:ind w:left="720"/>
        <w:jc w:val="both"/>
        <w:rPr>
          <w:rFonts w:ascii="Open Sans" w:hAnsi="Open Sans" w:cs="Open Sans"/>
        </w:rPr>
      </w:pPr>
    </w:p>
    <w:p w14:paraId="33474B8A" w14:textId="77777777" w:rsidR="00EE0408" w:rsidRPr="00D34DCC" w:rsidRDefault="00EE0408">
      <w:pPr>
        <w:keepNext w:val="0"/>
        <w:spacing w:before="0" w:after="160" w:line="278" w:lineRule="auto"/>
        <w:jc w:val="left"/>
        <w:outlineLvl w:val="9"/>
        <w:rPr>
          <w:rFonts w:ascii="Open Sans" w:hAnsi="Open Sans" w:cs="Open Sans"/>
        </w:rPr>
      </w:pPr>
      <w:r w:rsidRPr="00D34DCC">
        <w:rPr>
          <w:rFonts w:ascii="Open Sans" w:hAnsi="Open Sans" w:cs="Open Sans"/>
        </w:rPr>
        <w:br w:type="page"/>
      </w:r>
    </w:p>
    <w:p w14:paraId="4345E58A" w14:textId="5B932CE1" w:rsidR="00EE0408" w:rsidRPr="00D34DCC" w:rsidRDefault="00EE0408" w:rsidP="00EE0408">
      <w:pPr>
        <w:pStyle w:val="Default"/>
        <w:jc w:val="both"/>
        <w:rPr>
          <w:rFonts w:ascii="Open Sans" w:hAnsi="Open Sans" w:cs="Open Sans"/>
          <w:b/>
          <w:bCs/>
          <w:lang w:val="en-GB"/>
        </w:rPr>
      </w:pPr>
      <w:bookmarkStart w:id="2" w:name="_Hlk140666007"/>
      <w:r w:rsidRPr="00D34DCC">
        <w:rPr>
          <w:rFonts w:ascii="Open Sans" w:hAnsi="Open Sans" w:cs="Open Sans"/>
          <w:lang w:val="en-GB"/>
        </w:rPr>
        <w:lastRenderedPageBreak/>
        <w:t xml:space="preserve">To promote transparency, The Countess of Chester Hospital NHS Foundation Trust wishes to establish a Framework for use by all UK Public Sector Organisations (and any future successors to these organisations). To provide </w:t>
      </w:r>
      <w:r w:rsidR="00D34DCC">
        <w:rPr>
          <w:rFonts w:ascii="Open Sans" w:hAnsi="Open Sans" w:cs="Open Sans"/>
          <w:lang w:val="en-GB"/>
        </w:rPr>
        <w:t>tenderers</w:t>
      </w:r>
      <w:r w:rsidRPr="00D34DCC">
        <w:rPr>
          <w:rFonts w:ascii="Open Sans" w:hAnsi="Open Sans" w:cs="Open Sans"/>
          <w:lang w:val="en-GB"/>
        </w:rPr>
        <w:t xml:space="preserve"> with information on potential users of the Framework the following organisations are considered the eligible client base who may choose to be a Participating Authority:</w:t>
      </w:r>
    </w:p>
    <w:p w14:paraId="6B83BCCA" w14:textId="77777777" w:rsidR="00EE0408" w:rsidRPr="00D34DCC" w:rsidRDefault="00EE0408" w:rsidP="00EE0408">
      <w:pPr>
        <w:pStyle w:val="Default"/>
        <w:jc w:val="both"/>
        <w:rPr>
          <w:rFonts w:ascii="Open Sans" w:hAnsi="Open Sans" w:cs="Open Sans"/>
          <w:b/>
          <w:iCs/>
          <w:lang w:val="en-GB"/>
        </w:rPr>
      </w:pPr>
      <w:r w:rsidRPr="00D34DCC">
        <w:rPr>
          <w:rFonts w:ascii="Open Sans" w:hAnsi="Open Sans" w:cs="Open Sans"/>
          <w:b/>
          <w:iCs/>
          <w:lang w:val="en-GB"/>
        </w:rPr>
        <w:tab/>
      </w:r>
    </w:p>
    <w:p w14:paraId="37EE9389" w14:textId="77777777" w:rsidR="00EE0408" w:rsidRPr="00D34DCC" w:rsidRDefault="00EE0408" w:rsidP="00EE0408">
      <w:pPr>
        <w:pStyle w:val="Default"/>
        <w:numPr>
          <w:ilvl w:val="0"/>
          <w:numId w:val="24"/>
        </w:numPr>
        <w:jc w:val="both"/>
        <w:rPr>
          <w:rFonts w:ascii="Open Sans" w:hAnsi="Open Sans" w:cs="Open Sans"/>
          <w:bCs/>
          <w:iCs/>
          <w:lang w:val="en-GB"/>
        </w:rPr>
      </w:pPr>
      <w:bookmarkStart w:id="3" w:name="_Hlk193892022"/>
      <w:bookmarkStart w:id="4" w:name="_Hlk195780500"/>
      <w:r w:rsidRPr="00D34DCC">
        <w:rPr>
          <w:rFonts w:ascii="Open Sans" w:hAnsi="Open Sans" w:cs="Open Sans"/>
          <w:bCs/>
          <w:iCs/>
          <w:lang w:val="en-GB"/>
        </w:rPr>
        <w:t>Any of the following Customers located in the UK, and any of their successors:</w:t>
      </w:r>
    </w:p>
    <w:p w14:paraId="569EB5E0" w14:textId="77777777" w:rsidR="00EE0408" w:rsidRPr="00D34DCC" w:rsidRDefault="00EE0408" w:rsidP="00EE0408">
      <w:pPr>
        <w:pStyle w:val="Default"/>
        <w:ind w:left="720"/>
        <w:jc w:val="both"/>
        <w:rPr>
          <w:rFonts w:ascii="Open Sans" w:hAnsi="Open Sans" w:cs="Open Sans"/>
          <w:bCs/>
          <w:iCs/>
          <w:lang w:val="en-GB"/>
        </w:rPr>
      </w:pPr>
    </w:p>
    <w:p w14:paraId="21B43AAD"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a) Ministerial government </w:t>
      </w:r>
      <w:proofErr w:type="gramStart"/>
      <w:r w:rsidRPr="00D34DCC">
        <w:rPr>
          <w:rFonts w:ascii="Open Sans" w:hAnsi="Open Sans" w:cs="Open Sans"/>
          <w:bCs/>
          <w:iCs/>
          <w:lang w:val="en-GB"/>
        </w:rPr>
        <w:t>departments;</w:t>
      </w:r>
      <w:proofErr w:type="gramEnd"/>
    </w:p>
    <w:p w14:paraId="1A3BD2B2"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b) Non ministerial government </w:t>
      </w:r>
      <w:proofErr w:type="gramStart"/>
      <w:r w:rsidRPr="00D34DCC">
        <w:rPr>
          <w:rFonts w:ascii="Open Sans" w:hAnsi="Open Sans" w:cs="Open Sans"/>
          <w:bCs/>
          <w:iCs/>
          <w:lang w:val="en-GB"/>
        </w:rPr>
        <w:t>departments;</w:t>
      </w:r>
      <w:proofErr w:type="gramEnd"/>
    </w:p>
    <w:p w14:paraId="040EB3F6"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c) Executive agencies of </w:t>
      </w:r>
      <w:proofErr w:type="gramStart"/>
      <w:r w:rsidRPr="00D34DCC">
        <w:rPr>
          <w:rFonts w:ascii="Open Sans" w:hAnsi="Open Sans" w:cs="Open Sans"/>
          <w:bCs/>
          <w:iCs/>
          <w:lang w:val="en-GB"/>
        </w:rPr>
        <w:t>government;</w:t>
      </w:r>
      <w:proofErr w:type="gramEnd"/>
    </w:p>
    <w:p w14:paraId="431A87CF"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d) Non-Departmental Public Bodies (NDPBs), including advisory NDPBs, executive NDPBs, and tribunal </w:t>
      </w:r>
      <w:proofErr w:type="gramStart"/>
      <w:r w:rsidRPr="00D34DCC">
        <w:rPr>
          <w:rFonts w:ascii="Open Sans" w:hAnsi="Open Sans" w:cs="Open Sans"/>
          <w:bCs/>
          <w:iCs/>
          <w:lang w:val="en-GB"/>
        </w:rPr>
        <w:t>NDPBs;</w:t>
      </w:r>
      <w:proofErr w:type="gramEnd"/>
    </w:p>
    <w:p w14:paraId="6BD8E6D0"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e) Assembly Sponsored Public Bodies (ASPBs</w:t>
      </w:r>
      <w:proofErr w:type="gramStart"/>
      <w:r w:rsidRPr="00D34DCC">
        <w:rPr>
          <w:rFonts w:ascii="Open Sans" w:hAnsi="Open Sans" w:cs="Open Sans"/>
          <w:bCs/>
          <w:iCs/>
          <w:lang w:val="en-GB"/>
        </w:rPr>
        <w:t>);</w:t>
      </w:r>
      <w:proofErr w:type="gramEnd"/>
    </w:p>
    <w:p w14:paraId="7B1BB8DD"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f) Police </w:t>
      </w:r>
      <w:proofErr w:type="gramStart"/>
      <w:r w:rsidRPr="00D34DCC">
        <w:rPr>
          <w:rFonts w:ascii="Open Sans" w:hAnsi="Open Sans" w:cs="Open Sans"/>
          <w:bCs/>
          <w:iCs/>
          <w:lang w:val="en-GB"/>
        </w:rPr>
        <w:t>forces;</w:t>
      </w:r>
      <w:proofErr w:type="gramEnd"/>
    </w:p>
    <w:p w14:paraId="718FE780"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g) Fire and rescue </w:t>
      </w:r>
      <w:proofErr w:type="gramStart"/>
      <w:r w:rsidRPr="00D34DCC">
        <w:rPr>
          <w:rFonts w:ascii="Open Sans" w:hAnsi="Open Sans" w:cs="Open Sans"/>
          <w:bCs/>
          <w:iCs/>
          <w:lang w:val="en-GB"/>
        </w:rPr>
        <w:t>services;</w:t>
      </w:r>
      <w:proofErr w:type="gramEnd"/>
    </w:p>
    <w:p w14:paraId="38B10506"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h) Ambulance </w:t>
      </w:r>
      <w:proofErr w:type="gramStart"/>
      <w:r w:rsidRPr="00D34DCC">
        <w:rPr>
          <w:rFonts w:ascii="Open Sans" w:hAnsi="Open Sans" w:cs="Open Sans"/>
          <w:bCs/>
          <w:iCs/>
          <w:lang w:val="en-GB"/>
        </w:rPr>
        <w:t>services;</w:t>
      </w:r>
      <w:proofErr w:type="gramEnd"/>
    </w:p>
    <w:p w14:paraId="7A1A83D4" w14:textId="77777777" w:rsidR="00EE0408" w:rsidRPr="00D34DCC" w:rsidRDefault="00EE0408" w:rsidP="00EE0408">
      <w:pPr>
        <w:pStyle w:val="Default"/>
        <w:ind w:left="720"/>
        <w:jc w:val="both"/>
        <w:rPr>
          <w:rFonts w:ascii="Open Sans" w:hAnsi="Open Sans" w:cs="Open Sans"/>
          <w:bCs/>
          <w:iCs/>
          <w:lang w:val="en-GB"/>
        </w:rPr>
      </w:pPr>
      <w:proofErr w:type="spellStart"/>
      <w:r w:rsidRPr="00D34DCC">
        <w:rPr>
          <w:rFonts w:ascii="Open Sans" w:hAnsi="Open Sans" w:cs="Open Sans"/>
          <w:bCs/>
          <w:iCs/>
          <w:lang w:val="en-GB"/>
        </w:rPr>
        <w:t>i</w:t>
      </w:r>
      <w:proofErr w:type="spellEnd"/>
      <w:r w:rsidRPr="00D34DCC">
        <w:rPr>
          <w:rFonts w:ascii="Open Sans" w:hAnsi="Open Sans" w:cs="Open Sans"/>
          <w:bCs/>
          <w:iCs/>
          <w:lang w:val="en-GB"/>
        </w:rPr>
        <w:t xml:space="preserve">) Maritime and coastguard agency </w:t>
      </w:r>
      <w:proofErr w:type="gramStart"/>
      <w:r w:rsidRPr="00D34DCC">
        <w:rPr>
          <w:rFonts w:ascii="Open Sans" w:hAnsi="Open Sans" w:cs="Open Sans"/>
          <w:bCs/>
          <w:iCs/>
          <w:lang w:val="en-GB"/>
        </w:rPr>
        <w:t>services;</w:t>
      </w:r>
      <w:proofErr w:type="gramEnd"/>
    </w:p>
    <w:p w14:paraId="6640553F"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j) NHS </w:t>
      </w:r>
      <w:proofErr w:type="gramStart"/>
      <w:r w:rsidRPr="00D34DCC">
        <w:rPr>
          <w:rFonts w:ascii="Open Sans" w:hAnsi="Open Sans" w:cs="Open Sans"/>
          <w:bCs/>
          <w:iCs/>
          <w:lang w:val="en-GB"/>
        </w:rPr>
        <w:t>bodies;</w:t>
      </w:r>
      <w:proofErr w:type="gramEnd"/>
    </w:p>
    <w:p w14:paraId="4D134E31"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k) </w:t>
      </w:r>
      <w:proofErr w:type="gramStart"/>
      <w:r w:rsidRPr="00D34DCC">
        <w:rPr>
          <w:rFonts w:ascii="Open Sans" w:hAnsi="Open Sans" w:cs="Open Sans"/>
          <w:bCs/>
          <w:iCs/>
          <w:lang w:val="en-GB"/>
        </w:rPr>
        <w:t>Educational</w:t>
      </w:r>
      <w:proofErr w:type="gramEnd"/>
      <w:r w:rsidRPr="00D34DCC">
        <w:rPr>
          <w:rFonts w:ascii="Open Sans" w:hAnsi="Open Sans" w:cs="Open Sans"/>
          <w:bCs/>
          <w:iCs/>
          <w:lang w:val="en-GB"/>
        </w:rPr>
        <w:t xml:space="preserve"> bodies or establishments including state schools (nursery schools, primary schools, middle or high schools, secondary schools, special schools), academies, colleges, Pupil Referral Unit (PRU), further education colleges and </w:t>
      </w:r>
      <w:proofErr w:type="gramStart"/>
      <w:r w:rsidRPr="00D34DCC">
        <w:rPr>
          <w:rFonts w:ascii="Open Sans" w:hAnsi="Open Sans" w:cs="Open Sans"/>
          <w:bCs/>
          <w:iCs/>
          <w:lang w:val="en-GB"/>
        </w:rPr>
        <w:t>universities;</w:t>
      </w:r>
      <w:proofErr w:type="gramEnd"/>
    </w:p>
    <w:p w14:paraId="78AB94C0"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l) </w:t>
      </w:r>
      <w:proofErr w:type="gramStart"/>
      <w:r w:rsidRPr="00D34DCC">
        <w:rPr>
          <w:rFonts w:ascii="Open Sans" w:hAnsi="Open Sans" w:cs="Open Sans"/>
          <w:bCs/>
          <w:iCs/>
          <w:lang w:val="en-GB"/>
        </w:rPr>
        <w:t>Hospices;</w:t>
      </w:r>
      <w:proofErr w:type="gramEnd"/>
    </w:p>
    <w:p w14:paraId="6976799E"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m) National </w:t>
      </w:r>
      <w:proofErr w:type="gramStart"/>
      <w:r w:rsidRPr="00D34DCC">
        <w:rPr>
          <w:rFonts w:ascii="Open Sans" w:hAnsi="Open Sans" w:cs="Open Sans"/>
          <w:bCs/>
          <w:iCs/>
          <w:lang w:val="en-GB"/>
        </w:rPr>
        <w:t>Parks;</w:t>
      </w:r>
      <w:proofErr w:type="gramEnd"/>
    </w:p>
    <w:p w14:paraId="01248396"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n) Housing associations, including registered social </w:t>
      </w:r>
      <w:proofErr w:type="gramStart"/>
      <w:r w:rsidRPr="00D34DCC">
        <w:rPr>
          <w:rFonts w:ascii="Open Sans" w:hAnsi="Open Sans" w:cs="Open Sans"/>
          <w:bCs/>
          <w:iCs/>
          <w:lang w:val="en-GB"/>
        </w:rPr>
        <w:t>landlords;</w:t>
      </w:r>
      <w:proofErr w:type="gramEnd"/>
    </w:p>
    <w:p w14:paraId="70D8B528"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o) Third sector and </w:t>
      </w:r>
      <w:proofErr w:type="gramStart"/>
      <w:r w:rsidRPr="00D34DCC">
        <w:rPr>
          <w:rFonts w:ascii="Open Sans" w:hAnsi="Open Sans" w:cs="Open Sans"/>
          <w:bCs/>
          <w:iCs/>
          <w:lang w:val="en-GB"/>
        </w:rPr>
        <w:t>charities;</w:t>
      </w:r>
      <w:proofErr w:type="gramEnd"/>
    </w:p>
    <w:p w14:paraId="44AAAB0E"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p) </w:t>
      </w:r>
      <w:proofErr w:type="gramStart"/>
      <w:r w:rsidRPr="00D34DCC">
        <w:rPr>
          <w:rFonts w:ascii="Open Sans" w:hAnsi="Open Sans" w:cs="Open Sans"/>
          <w:bCs/>
          <w:iCs/>
          <w:lang w:val="en-GB"/>
        </w:rPr>
        <w:t>Citizens</w:t>
      </w:r>
      <w:proofErr w:type="gramEnd"/>
      <w:r w:rsidRPr="00D34DCC">
        <w:rPr>
          <w:rFonts w:ascii="Open Sans" w:hAnsi="Open Sans" w:cs="Open Sans"/>
          <w:bCs/>
          <w:iCs/>
          <w:lang w:val="en-GB"/>
        </w:rPr>
        <w:t xml:space="preserve"> advice </w:t>
      </w:r>
      <w:proofErr w:type="gramStart"/>
      <w:r w:rsidRPr="00D34DCC">
        <w:rPr>
          <w:rFonts w:ascii="Open Sans" w:hAnsi="Open Sans" w:cs="Open Sans"/>
          <w:bCs/>
          <w:iCs/>
          <w:lang w:val="en-GB"/>
        </w:rPr>
        <w:t>bodies;</w:t>
      </w:r>
      <w:proofErr w:type="gramEnd"/>
    </w:p>
    <w:p w14:paraId="62711046"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q) Councils, including county councils, district councils, county borough councils, community councils, London borough councils, unitary councils, metropolitan councils, parish </w:t>
      </w:r>
      <w:proofErr w:type="gramStart"/>
      <w:r w:rsidRPr="00D34DCC">
        <w:rPr>
          <w:rFonts w:ascii="Open Sans" w:hAnsi="Open Sans" w:cs="Open Sans"/>
          <w:bCs/>
          <w:iCs/>
          <w:lang w:val="en-GB"/>
        </w:rPr>
        <w:t>councils;</w:t>
      </w:r>
      <w:proofErr w:type="gramEnd"/>
    </w:p>
    <w:p w14:paraId="268A459E"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r) Public </w:t>
      </w:r>
      <w:proofErr w:type="gramStart"/>
      <w:r w:rsidRPr="00D34DCC">
        <w:rPr>
          <w:rFonts w:ascii="Open Sans" w:hAnsi="Open Sans" w:cs="Open Sans"/>
          <w:bCs/>
          <w:iCs/>
          <w:lang w:val="en-GB"/>
        </w:rPr>
        <w:t>corporations;</w:t>
      </w:r>
      <w:proofErr w:type="gramEnd"/>
    </w:p>
    <w:p w14:paraId="219D7F5D"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s) Public financial bodies or </w:t>
      </w:r>
      <w:proofErr w:type="gramStart"/>
      <w:r w:rsidRPr="00D34DCC">
        <w:rPr>
          <w:rFonts w:ascii="Open Sans" w:hAnsi="Open Sans" w:cs="Open Sans"/>
          <w:bCs/>
          <w:iCs/>
          <w:lang w:val="en-GB"/>
        </w:rPr>
        <w:t>institutions;</w:t>
      </w:r>
      <w:proofErr w:type="gramEnd"/>
    </w:p>
    <w:p w14:paraId="322BD8C5"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t) </w:t>
      </w:r>
      <w:proofErr w:type="gramStart"/>
      <w:r w:rsidRPr="00D34DCC">
        <w:rPr>
          <w:rFonts w:ascii="Open Sans" w:hAnsi="Open Sans" w:cs="Open Sans"/>
          <w:bCs/>
          <w:iCs/>
          <w:lang w:val="en-GB"/>
        </w:rPr>
        <w:t>Public</w:t>
      </w:r>
      <w:proofErr w:type="gramEnd"/>
      <w:r w:rsidRPr="00D34DCC">
        <w:rPr>
          <w:rFonts w:ascii="Open Sans" w:hAnsi="Open Sans" w:cs="Open Sans"/>
          <w:bCs/>
          <w:iCs/>
          <w:lang w:val="en-GB"/>
        </w:rPr>
        <w:t xml:space="preserve"> pension </w:t>
      </w:r>
      <w:proofErr w:type="gramStart"/>
      <w:r w:rsidRPr="00D34DCC">
        <w:rPr>
          <w:rFonts w:ascii="Open Sans" w:hAnsi="Open Sans" w:cs="Open Sans"/>
          <w:bCs/>
          <w:iCs/>
          <w:lang w:val="en-GB"/>
        </w:rPr>
        <w:t>funds;</w:t>
      </w:r>
      <w:proofErr w:type="gramEnd"/>
    </w:p>
    <w:p w14:paraId="5727CA11"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u) Central banks; and</w:t>
      </w:r>
    </w:p>
    <w:p w14:paraId="2C7FD97A" w14:textId="77777777" w:rsidR="00EE0408" w:rsidRPr="00D34DCC" w:rsidRDefault="00EE0408" w:rsidP="00EE0408">
      <w:pPr>
        <w:pStyle w:val="Default"/>
        <w:ind w:left="720"/>
        <w:jc w:val="both"/>
        <w:rPr>
          <w:rFonts w:ascii="Open Sans" w:hAnsi="Open Sans" w:cs="Open Sans"/>
          <w:bCs/>
          <w:iCs/>
          <w:lang w:val="en-GB"/>
        </w:rPr>
      </w:pPr>
      <w:r w:rsidRPr="00D34DCC">
        <w:rPr>
          <w:rFonts w:ascii="Open Sans" w:hAnsi="Open Sans" w:cs="Open Sans"/>
          <w:bCs/>
          <w:iCs/>
          <w:lang w:val="en-GB"/>
        </w:rPr>
        <w:t xml:space="preserve">v) Civil service bodies, including public sector buying organisations. </w:t>
      </w:r>
    </w:p>
    <w:p w14:paraId="3FC6D4FE" w14:textId="77777777" w:rsidR="00EE0408" w:rsidRPr="00D34DCC" w:rsidRDefault="00EE0408" w:rsidP="00EE0408">
      <w:pPr>
        <w:pStyle w:val="Default"/>
        <w:jc w:val="both"/>
        <w:rPr>
          <w:rFonts w:ascii="Open Sans" w:hAnsi="Open Sans" w:cs="Open Sans"/>
          <w:bCs/>
          <w:iCs/>
          <w:lang w:val="en-GB"/>
        </w:rPr>
      </w:pPr>
    </w:p>
    <w:p w14:paraId="49E5EC8A" w14:textId="4579D0D7" w:rsidR="00EE0408" w:rsidRPr="00D34DCC" w:rsidRDefault="00EE0408" w:rsidP="00EE0408">
      <w:pPr>
        <w:pStyle w:val="Default"/>
        <w:ind w:left="720" w:hanging="720"/>
        <w:jc w:val="both"/>
        <w:rPr>
          <w:rFonts w:ascii="Open Sans" w:hAnsi="Open Sans" w:cs="Open Sans"/>
          <w:bCs/>
          <w:iCs/>
          <w:lang w:val="en-GB"/>
        </w:rPr>
      </w:pPr>
      <w:r w:rsidRPr="00D34DCC">
        <w:rPr>
          <w:rFonts w:ascii="Open Sans" w:hAnsi="Open Sans" w:cs="Open Sans"/>
          <w:bCs/>
          <w:iCs/>
          <w:lang w:val="en-GB"/>
        </w:rPr>
        <w:t xml:space="preserve">2. </w:t>
      </w:r>
      <w:r w:rsidRPr="00D34DCC">
        <w:rPr>
          <w:rFonts w:ascii="Open Sans" w:hAnsi="Open Sans" w:cs="Open Sans"/>
          <w:bCs/>
          <w:iCs/>
          <w:lang w:val="en-GB"/>
        </w:rPr>
        <w:tab/>
        <w:t>Those bodies located in the UK and listed and maintained by the Government</w:t>
      </w:r>
      <w:r w:rsidR="00D34DCC">
        <w:rPr>
          <w:rFonts w:ascii="Open Sans" w:hAnsi="Open Sans" w:cs="Open Sans"/>
          <w:bCs/>
          <w:iCs/>
          <w:lang w:val="en-GB"/>
        </w:rPr>
        <w:t xml:space="preserve"> </w:t>
      </w:r>
      <w:r w:rsidRPr="00D34DCC">
        <w:rPr>
          <w:rFonts w:ascii="Open Sans" w:hAnsi="Open Sans" w:cs="Open Sans"/>
          <w:bCs/>
          <w:iCs/>
          <w:lang w:val="en-GB"/>
        </w:rPr>
        <w:t xml:space="preserve">on their website at https://www.gov.uk/government/organisations or any replacement or </w:t>
      </w:r>
      <w:r w:rsidRPr="00D34DCC">
        <w:rPr>
          <w:rFonts w:ascii="Open Sans" w:hAnsi="Open Sans" w:cs="Open Sans"/>
          <w:bCs/>
          <w:iCs/>
          <w:lang w:val="en-GB"/>
        </w:rPr>
        <w:lastRenderedPageBreak/>
        <w:t xml:space="preserve">updated web-link. </w:t>
      </w:r>
    </w:p>
    <w:p w14:paraId="14B042ED" w14:textId="77777777" w:rsidR="00EE0408" w:rsidRPr="00D34DCC" w:rsidRDefault="00EE0408" w:rsidP="00EE0408">
      <w:pPr>
        <w:pStyle w:val="Default"/>
        <w:jc w:val="both"/>
        <w:rPr>
          <w:rFonts w:ascii="Open Sans" w:hAnsi="Open Sans" w:cs="Open Sans"/>
          <w:bCs/>
          <w:iCs/>
          <w:lang w:val="en-GB"/>
        </w:rPr>
      </w:pPr>
    </w:p>
    <w:p w14:paraId="49043AF0" w14:textId="77777777" w:rsidR="00EE0408" w:rsidRPr="00D34DCC" w:rsidRDefault="00EE0408" w:rsidP="00EE0408">
      <w:pPr>
        <w:pStyle w:val="Default"/>
        <w:ind w:left="720" w:hanging="720"/>
        <w:rPr>
          <w:rFonts w:ascii="Open Sans" w:hAnsi="Open Sans" w:cs="Open Sans"/>
          <w:bCs/>
          <w:iCs/>
          <w:lang w:val="en-GB"/>
        </w:rPr>
      </w:pPr>
      <w:r w:rsidRPr="00D34DCC">
        <w:rPr>
          <w:rFonts w:ascii="Open Sans" w:hAnsi="Open Sans" w:cs="Open Sans"/>
          <w:bCs/>
          <w:iCs/>
          <w:lang w:val="en-GB"/>
        </w:rPr>
        <w:t>3.</w:t>
      </w:r>
      <w:r w:rsidRPr="00D34DCC">
        <w:rPr>
          <w:rFonts w:ascii="Open Sans" w:hAnsi="Open Sans" w:cs="Open Sans"/>
          <w:bCs/>
          <w:iCs/>
          <w:lang w:val="en-GB"/>
        </w:rPr>
        <w:tab/>
        <w:t xml:space="preserve">Those bodies located in the UK and listed and maintained by the Office of National Statistics (ONS) at: https://www.ons.gov.uk/economy/nationalaccounts/uksectoraccounts/datasets/publicsectorclassificationguide or any replacement or updated web-link. </w:t>
      </w:r>
    </w:p>
    <w:p w14:paraId="4255F5E9" w14:textId="77777777" w:rsidR="00EE0408" w:rsidRPr="00D34DCC" w:rsidRDefault="00EE0408" w:rsidP="00EE0408">
      <w:pPr>
        <w:pStyle w:val="Default"/>
        <w:jc w:val="both"/>
        <w:rPr>
          <w:rFonts w:ascii="Open Sans" w:hAnsi="Open Sans" w:cs="Open Sans"/>
          <w:bCs/>
          <w:iCs/>
          <w:lang w:val="en-GB"/>
        </w:rPr>
      </w:pPr>
    </w:p>
    <w:p w14:paraId="76C7B49F" w14:textId="77777777" w:rsidR="00EE0408" w:rsidRPr="00D34DCC" w:rsidRDefault="00EE0408" w:rsidP="00EE0408">
      <w:pPr>
        <w:pStyle w:val="Default"/>
        <w:ind w:left="720" w:hanging="720"/>
        <w:jc w:val="both"/>
        <w:rPr>
          <w:rFonts w:ascii="Open Sans" w:hAnsi="Open Sans" w:cs="Open Sans"/>
          <w:bCs/>
          <w:iCs/>
          <w:lang w:val="en-GB"/>
        </w:rPr>
      </w:pPr>
      <w:r w:rsidRPr="00D34DCC">
        <w:rPr>
          <w:rFonts w:ascii="Open Sans" w:hAnsi="Open Sans" w:cs="Open Sans"/>
          <w:bCs/>
          <w:iCs/>
          <w:lang w:val="en-GB"/>
        </w:rPr>
        <w:t xml:space="preserve">4. </w:t>
      </w:r>
      <w:r w:rsidRPr="00D34DCC">
        <w:rPr>
          <w:rFonts w:ascii="Open Sans" w:hAnsi="Open Sans" w:cs="Open Sans"/>
          <w:bCs/>
          <w:iCs/>
          <w:lang w:val="en-GB"/>
        </w:rPr>
        <w:tab/>
        <w:t xml:space="preserve">Those bodies located in the </w:t>
      </w:r>
      <w:proofErr w:type="gramStart"/>
      <w:r w:rsidRPr="00D34DCC">
        <w:rPr>
          <w:rFonts w:ascii="Open Sans" w:hAnsi="Open Sans" w:cs="Open Sans"/>
          <w:bCs/>
          <w:iCs/>
          <w:lang w:val="en-GB"/>
        </w:rPr>
        <w:t>UK</w:t>
      </w:r>
      <w:proofErr w:type="gramEnd"/>
      <w:r w:rsidRPr="00D34DCC">
        <w:rPr>
          <w:rFonts w:ascii="Open Sans" w:hAnsi="Open Sans" w:cs="Open Sans"/>
          <w:bCs/>
          <w:iCs/>
          <w:lang w:val="en-GB"/>
        </w:rPr>
        <w:t xml:space="preserve"> and which are within the scope of the definition of “Contracting Authority” in Section 2 of the Procurement Act 2023. </w:t>
      </w:r>
    </w:p>
    <w:p w14:paraId="666934D1" w14:textId="77777777" w:rsidR="00EE0408" w:rsidRPr="00D34DCC" w:rsidRDefault="00EE0408" w:rsidP="00EE0408">
      <w:pPr>
        <w:pStyle w:val="Default"/>
        <w:jc w:val="both"/>
        <w:rPr>
          <w:rFonts w:ascii="Open Sans" w:hAnsi="Open Sans" w:cs="Open Sans"/>
          <w:bCs/>
          <w:iCs/>
          <w:lang w:val="en-GB"/>
        </w:rPr>
      </w:pPr>
    </w:p>
    <w:p w14:paraId="6D1C15E8" w14:textId="77777777" w:rsidR="00EE0408" w:rsidRPr="00D34DCC" w:rsidRDefault="00EE0408" w:rsidP="00EE0408">
      <w:pPr>
        <w:pStyle w:val="Default"/>
        <w:ind w:left="720" w:hanging="720"/>
        <w:jc w:val="both"/>
        <w:rPr>
          <w:rFonts w:ascii="Open Sans" w:hAnsi="Open Sans" w:cs="Open Sans"/>
          <w:bCs/>
          <w:iCs/>
          <w:lang w:val="en-GB"/>
        </w:rPr>
      </w:pPr>
      <w:r w:rsidRPr="00D34DCC">
        <w:rPr>
          <w:rFonts w:ascii="Open Sans" w:hAnsi="Open Sans" w:cs="Open Sans"/>
          <w:bCs/>
          <w:iCs/>
          <w:lang w:val="en-GB"/>
        </w:rPr>
        <w:t xml:space="preserve">5. </w:t>
      </w:r>
      <w:r w:rsidRPr="00D34DCC">
        <w:rPr>
          <w:rFonts w:ascii="Open Sans" w:hAnsi="Open Sans" w:cs="Open Sans"/>
          <w:bCs/>
          <w:iCs/>
          <w:lang w:val="en-GB"/>
        </w:rPr>
        <w:tab/>
        <w:t>Any corporation established, or a group of individuals appointed to act together, for the specific purpose of meeting needs in the general interest, not having an industrial or commercial character, and located in the UK and</w:t>
      </w:r>
    </w:p>
    <w:p w14:paraId="69815945" w14:textId="77777777" w:rsidR="00EE0408" w:rsidRPr="00D34DCC" w:rsidRDefault="00EE0408" w:rsidP="00EE0408">
      <w:pPr>
        <w:pStyle w:val="Default"/>
        <w:jc w:val="both"/>
        <w:rPr>
          <w:rFonts w:ascii="Open Sans" w:hAnsi="Open Sans" w:cs="Open Sans"/>
          <w:bCs/>
          <w:iCs/>
          <w:lang w:val="en-GB"/>
        </w:rPr>
      </w:pPr>
    </w:p>
    <w:p w14:paraId="224A8CCD" w14:textId="77777777" w:rsidR="00EE0408" w:rsidRPr="00D34DCC" w:rsidRDefault="00EE0408" w:rsidP="00EE0408">
      <w:pPr>
        <w:pStyle w:val="Default"/>
        <w:ind w:left="2160" w:hanging="720"/>
        <w:jc w:val="both"/>
        <w:rPr>
          <w:rFonts w:ascii="Open Sans" w:hAnsi="Open Sans" w:cs="Open Sans"/>
          <w:bCs/>
          <w:iCs/>
          <w:lang w:val="en-GB"/>
        </w:rPr>
      </w:pPr>
      <w:r w:rsidRPr="00D34DCC">
        <w:rPr>
          <w:rFonts w:ascii="Open Sans" w:hAnsi="Open Sans" w:cs="Open Sans"/>
          <w:bCs/>
          <w:iCs/>
          <w:lang w:val="en-GB"/>
        </w:rPr>
        <w:t>(</w:t>
      </w:r>
      <w:proofErr w:type="spellStart"/>
      <w:r w:rsidRPr="00D34DCC">
        <w:rPr>
          <w:rFonts w:ascii="Open Sans" w:hAnsi="Open Sans" w:cs="Open Sans"/>
          <w:bCs/>
          <w:iCs/>
          <w:lang w:val="en-GB"/>
        </w:rPr>
        <w:t>i</w:t>
      </w:r>
      <w:proofErr w:type="spellEnd"/>
      <w:r w:rsidRPr="00D34DCC">
        <w:rPr>
          <w:rFonts w:ascii="Open Sans" w:hAnsi="Open Sans" w:cs="Open Sans"/>
          <w:bCs/>
          <w:iCs/>
          <w:lang w:val="en-GB"/>
        </w:rPr>
        <w:t xml:space="preserve">) </w:t>
      </w:r>
      <w:r w:rsidRPr="00D34DCC">
        <w:rPr>
          <w:rFonts w:ascii="Open Sans" w:hAnsi="Open Sans" w:cs="Open Sans"/>
          <w:bCs/>
          <w:iCs/>
          <w:lang w:val="en-GB"/>
        </w:rPr>
        <w:tab/>
        <w:t xml:space="preserve">financed wholly or mainly by another Participating Authority listed in this </w:t>
      </w:r>
      <w:proofErr w:type="gramStart"/>
      <w:r w:rsidRPr="00D34DCC">
        <w:rPr>
          <w:rFonts w:ascii="Open Sans" w:hAnsi="Open Sans" w:cs="Open Sans"/>
          <w:bCs/>
          <w:iCs/>
          <w:lang w:val="en-GB"/>
        </w:rPr>
        <w:t>document;</w:t>
      </w:r>
      <w:proofErr w:type="gramEnd"/>
    </w:p>
    <w:p w14:paraId="21085B0F" w14:textId="77777777" w:rsidR="00EE0408" w:rsidRPr="00D34DCC" w:rsidRDefault="00EE0408" w:rsidP="00EE0408">
      <w:pPr>
        <w:pStyle w:val="Default"/>
        <w:ind w:left="1440"/>
        <w:jc w:val="both"/>
        <w:rPr>
          <w:rFonts w:ascii="Open Sans" w:hAnsi="Open Sans" w:cs="Open Sans"/>
          <w:bCs/>
          <w:iCs/>
          <w:lang w:val="en-GB"/>
        </w:rPr>
      </w:pPr>
    </w:p>
    <w:p w14:paraId="589A05F8" w14:textId="77777777" w:rsidR="00EE0408" w:rsidRPr="00D34DCC" w:rsidRDefault="00EE0408" w:rsidP="00EE0408">
      <w:pPr>
        <w:pStyle w:val="Default"/>
        <w:ind w:left="2160" w:hanging="720"/>
        <w:jc w:val="both"/>
        <w:rPr>
          <w:rFonts w:ascii="Open Sans" w:hAnsi="Open Sans" w:cs="Open Sans"/>
          <w:bCs/>
          <w:iCs/>
          <w:lang w:val="en-GB"/>
        </w:rPr>
      </w:pPr>
      <w:r w:rsidRPr="00D34DCC">
        <w:rPr>
          <w:rFonts w:ascii="Open Sans" w:hAnsi="Open Sans" w:cs="Open Sans"/>
          <w:bCs/>
          <w:iCs/>
          <w:lang w:val="en-GB"/>
        </w:rPr>
        <w:t xml:space="preserve">(ii) </w:t>
      </w:r>
      <w:r w:rsidRPr="00D34DCC">
        <w:rPr>
          <w:rFonts w:ascii="Open Sans" w:hAnsi="Open Sans" w:cs="Open Sans"/>
          <w:bCs/>
          <w:iCs/>
          <w:lang w:val="en-GB"/>
        </w:rPr>
        <w:tab/>
        <w:t>subject to management supervision by another Participating authority listed above in this document; or</w:t>
      </w:r>
    </w:p>
    <w:p w14:paraId="27E3EBCA" w14:textId="77777777" w:rsidR="00EE0408" w:rsidRPr="00D34DCC" w:rsidRDefault="00EE0408" w:rsidP="00EE0408">
      <w:pPr>
        <w:pStyle w:val="Default"/>
        <w:ind w:left="1440"/>
        <w:jc w:val="both"/>
        <w:rPr>
          <w:rFonts w:ascii="Open Sans" w:hAnsi="Open Sans" w:cs="Open Sans"/>
          <w:bCs/>
          <w:iCs/>
          <w:lang w:val="en-GB"/>
        </w:rPr>
      </w:pPr>
      <w:r w:rsidRPr="00D34DCC">
        <w:rPr>
          <w:rFonts w:ascii="Open Sans" w:hAnsi="Open Sans" w:cs="Open Sans"/>
          <w:bCs/>
          <w:iCs/>
          <w:lang w:val="en-GB"/>
        </w:rPr>
        <w:tab/>
      </w:r>
    </w:p>
    <w:p w14:paraId="6DD95F0D" w14:textId="77777777" w:rsidR="00EE0408" w:rsidRPr="00D34DCC" w:rsidRDefault="00EE0408" w:rsidP="00EE0408">
      <w:pPr>
        <w:pStyle w:val="Default"/>
        <w:ind w:left="2160" w:hanging="720"/>
        <w:jc w:val="both"/>
        <w:rPr>
          <w:rFonts w:ascii="Open Sans" w:hAnsi="Open Sans" w:cs="Open Sans"/>
          <w:bCs/>
          <w:iCs/>
          <w:lang w:val="en-GB"/>
        </w:rPr>
      </w:pPr>
      <w:r w:rsidRPr="00D34DCC">
        <w:rPr>
          <w:rFonts w:ascii="Open Sans" w:hAnsi="Open Sans" w:cs="Open Sans"/>
          <w:bCs/>
          <w:iCs/>
          <w:lang w:val="en-GB"/>
        </w:rPr>
        <w:t>(iii)</w:t>
      </w:r>
      <w:r w:rsidRPr="00D34DCC">
        <w:rPr>
          <w:rFonts w:ascii="Open Sans" w:hAnsi="Open Sans" w:cs="Open Sans"/>
          <w:bCs/>
          <w:iCs/>
          <w:lang w:val="en-GB"/>
        </w:rPr>
        <w:tab/>
        <w:t xml:space="preserve">more than half of the board of directors or members of which, or, in the case of a group of individuals, more than half of those individuals, are appointed by another Participating Authority listed above in this </w:t>
      </w:r>
      <w:proofErr w:type="gramStart"/>
      <w:r w:rsidRPr="00D34DCC">
        <w:rPr>
          <w:rFonts w:ascii="Open Sans" w:hAnsi="Open Sans" w:cs="Open Sans"/>
          <w:bCs/>
          <w:iCs/>
          <w:lang w:val="en-GB"/>
        </w:rPr>
        <w:t>document;</w:t>
      </w:r>
      <w:proofErr w:type="gramEnd"/>
    </w:p>
    <w:p w14:paraId="4720582E" w14:textId="77777777" w:rsidR="00EE0408" w:rsidRPr="00D34DCC" w:rsidRDefault="00EE0408" w:rsidP="00EE0408">
      <w:pPr>
        <w:pStyle w:val="Default"/>
        <w:ind w:left="1440"/>
        <w:jc w:val="both"/>
        <w:rPr>
          <w:rFonts w:ascii="Open Sans" w:hAnsi="Open Sans" w:cs="Open Sans"/>
          <w:bCs/>
          <w:iCs/>
          <w:lang w:val="en-GB"/>
        </w:rPr>
      </w:pPr>
    </w:p>
    <w:p w14:paraId="3EE3AA43" w14:textId="77777777" w:rsidR="00EE0408" w:rsidRPr="00D34DCC" w:rsidRDefault="00EE0408" w:rsidP="00EE0408">
      <w:pPr>
        <w:pStyle w:val="Default"/>
        <w:ind w:left="2160" w:hanging="720"/>
        <w:jc w:val="both"/>
        <w:rPr>
          <w:rFonts w:ascii="Open Sans" w:hAnsi="Open Sans" w:cs="Open Sans"/>
          <w:bCs/>
          <w:iCs/>
          <w:lang w:val="en-GB"/>
        </w:rPr>
      </w:pPr>
      <w:r w:rsidRPr="00D34DCC">
        <w:rPr>
          <w:rFonts w:ascii="Open Sans" w:hAnsi="Open Sans" w:cs="Open Sans"/>
          <w:bCs/>
          <w:iCs/>
          <w:lang w:val="en-GB"/>
        </w:rPr>
        <w:t xml:space="preserve">(iv) </w:t>
      </w:r>
      <w:r w:rsidRPr="00D34DCC">
        <w:rPr>
          <w:rFonts w:ascii="Open Sans" w:hAnsi="Open Sans" w:cs="Open Sans"/>
          <w:bCs/>
          <w:iCs/>
          <w:lang w:val="en-GB"/>
        </w:rPr>
        <w:tab/>
        <w:t xml:space="preserve">an association of or formed by one or more of the Participating Authorities listed above in this document. </w:t>
      </w:r>
    </w:p>
    <w:p w14:paraId="3F07A61B" w14:textId="77777777" w:rsidR="00EE0408" w:rsidRPr="00D34DCC" w:rsidRDefault="00EE0408" w:rsidP="00EE0408">
      <w:pPr>
        <w:pStyle w:val="Default"/>
        <w:jc w:val="both"/>
        <w:rPr>
          <w:rFonts w:ascii="Open Sans" w:hAnsi="Open Sans" w:cs="Open Sans"/>
          <w:bCs/>
          <w:iCs/>
          <w:lang w:val="en-GB"/>
        </w:rPr>
      </w:pPr>
    </w:p>
    <w:p w14:paraId="237C2484" w14:textId="77777777" w:rsidR="00EE0408" w:rsidRPr="00D34DCC" w:rsidRDefault="00EE0408" w:rsidP="00EE0408">
      <w:pPr>
        <w:pStyle w:val="Default"/>
        <w:ind w:left="720" w:hanging="720"/>
        <w:jc w:val="both"/>
        <w:rPr>
          <w:rFonts w:ascii="Open Sans" w:hAnsi="Open Sans" w:cs="Open Sans"/>
          <w:bCs/>
          <w:iCs/>
          <w:lang w:val="en-GB"/>
        </w:rPr>
      </w:pPr>
      <w:r w:rsidRPr="00D34DCC">
        <w:rPr>
          <w:rFonts w:ascii="Open Sans" w:hAnsi="Open Sans" w:cs="Open Sans"/>
          <w:bCs/>
          <w:iCs/>
          <w:lang w:val="en-GB"/>
        </w:rPr>
        <w:t xml:space="preserve">6. </w:t>
      </w:r>
      <w:r w:rsidRPr="00D34DCC">
        <w:rPr>
          <w:rFonts w:ascii="Open Sans" w:hAnsi="Open Sans" w:cs="Open Sans"/>
          <w:bCs/>
          <w:iCs/>
          <w:lang w:val="en-GB"/>
        </w:rPr>
        <w:tab/>
        <w:t>The voluntary sector, charities and/or other entities and private organisations and located in the UK and which are not UK public sector bodies may also use the Framework if the Authority is satisfied that:</w:t>
      </w:r>
    </w:p>
    <w:p w14:paraId="6C919319" w14:textId="77777777" w:rsidR="00EE0408" w:rsidRPr="00D34DCC" w:rsidRDefault="00EE0408" w:rsidP="00EE0408">
      <w:pPr>
        <w:pStyle w:val="Default"/>
        <w:jc w:val="both"/>
        <w:rPr>
          <w:rFonts w:ascii="Open Sans" w:hAnsi="Open Sans" w:cs="Open Sans"/>
          <w:bCs/>
          <w:iCs/>
          <w:lang w:val="en-GB"/>
        </w:rPr>
      </w:pPr>
    </w:p>
    <w:p w14:paraId="27C51A4C" w14:textId="77777777" w:rsidR="00EE0408" w:rsidRPr="00D34DCC" w:rsidRDefault="00EE0408" w:rsidP="00EE0408">
      <w:pPr>
        <w:pStyle w:val="Default"/>
        <w:numPr>
          <w:ilvl w:val="0"/>
          <w:numId w:val="25"/>
        </w:numPr>
        <w:ind w:left="2160"/>
        <w:jc w:val="both"/>
        <w:rPr>
          <w:rFonts w:ascii="Open Sans" w:hAnsi="Open Sans" w:cs="Open Sans"/>
          <w:bCs/>
          <w:iCs/>
          <w:lang w:val="en-GB"/>
        </w:rPr>
      </w:pPr>
      <w:r w:rsidRPr="00D34DCC">
        <w:rPr>
          <w:rFonts w:ascii="Open Sans" w:hAnsi="Open Sans" w:cs="Open Sans"/>
          <w:bCs/>
          <w:iCs/>
          <w:lang w:val="en-GB"/>
        </w:rPr>
        <w:t xml:space="preserve">such entity is calling-off services directly, solely and exclusively </w:t>
      </w:r>
      <w:proofErr w:type="gramStart"/>
      <w:r w:rsidRPr="00D34DCC">
        <w:rPr>
          <w:rFonts w:ascii="Open Sans" w:hAnsi="Open Sans" w:cs="Open Sans"/>
          <w:bCs/>
          <w:iCs/>
          <w:lang w:val="en-GB"/>
        </w:rPr>
        <w:t>in order to</w:t>
      </w:r>
      <w:proofErr w:type="gramEnd"/>
      <w:r w:rsidRPr="00D34DCC">
        <w:rPr>
          <w:rFonts w:ascii="Open Sans" w:hAnsi="Open Sans" w:cs="Open Sans"/>
          <w:bCs/>
          <w:iCs/>
          <w:lang w:val="en-GB"/>
        </w:rPr>
        <w:t xml:space="preserve"> satisfy contractual obligations to one or more public sector bodies, all of which are entitled to use the Framework Contracts on their own account.</w:t>
      </w:r>
    </w:p>
    <w:p w14:paraId="4F8EA4F5" w14:textId="77777777" w:rsidR="00EE0408" w:rsidRPr="00D34DCC" w:rsidRDefault="00EE0408" w:rsidP="00EE0408">
      <w:pPr>
        <w:pStyle w:val="Default"/>
        <w:ind w:left="2160"/>
        <w:jc w:val="both"/>
        <w:rPr>
          <w:rFonts w:ascii="Open Sans" w:hAnsi="Open Sans" w:cs="Open Sans"/>
          <w:bCs/>
          <w:iCs/>
          <w:lang w:val="en-GB"/>
        </w:rPr>
      </w:pPr>
    </w:p>
    <w:p w14:paraId="2E5B328E" w14:textId="77777777" w:rsidR="00EE0408" w:rsidRPr="00D34DCC" w:rsidRDefault="00EE0408" w:rsidP="00EE0408">
      <w:pPr>
        <w:pStyle w:val="Default"/>
        <w:ind w:left="2160" w:hanging="720"/>
        <w:jc w:val="both"/>
        <w:rPr>
          <w:rFonts w:ascii="Open Sans" w:hAnsi="Open Sans" w:cs="Open Sans"/>
          <w:bCs/>
          <w:iCs/>
          <w:lang w:val="en-GB"/>
        </w:rPr>
      </w:pPr>
      <w:r w:rsidRPr="00D34DCC">
        <w:rPr>
          <w:rFonts w:ascii="Open Sans" w:hAnsi="Open Sans" w:cs="Open Sans"/>
          <w:bCs/>
          <w:iCs/>
          <w:lang w:val="en-GB"/>
        </w:rPr>
        <w:t xml:space="preserve">(ii) </w:t>
      </w:r>
      <w:r w:rsidRPr="00D34DCC">
        <w:rPr>
          <w:rFonts w:ascii="Open Sans" w:hAnsi="Open Sans" w:cs="Open Sans"/>
          <w:bCs/>
          <w:iCs/>
          <w:lang w:val="en-GB"/>
        </w:rPr>
        <w:tab/>
        <w:t>such entity is acting as a managing agent or procuring on behalf of the public sector delivering services of a public nature.</w:t>
      </w:r>
      <w:bookmarkEnd w:id="3"/>
    </w:p>
    <w:p w14:paraId="7BAF4C78" w14:textId="77777777" w:rsidR="00EE0408" w:rsidRPr="00D34DCC" w:rsidRDefault="00EE0408" w:rsidP="00EE0408">
      <w:pPr>
        <w:pStyle w:val="Default"/>
        <w:jc w:val="both"/>
        <w:rPr>
          <w:rFonts w:ascii="Open Sans" w:hAnsi="Open Sans" w:cs="Open Sans"/>
          <w:b/>
          <w:bCs/>
          <w:iCs/>
          <w:lang w:val="en-GB"/>
        </w:rPr>
      </w:pPr>
    </w:p>
    <w:p w14:paraId="0F15A476" w14:textId="77777777" w:rsidR="00EE0408" w:rsidRPr="00D34DCC" w:rsidRDefault="00EE0408" w:rsidP="00EE0408">
      <w:pPr>
        <w:pStyle w:val="Default"/>
        <w:jc w:val="both"/>
        <w:rPr>
          <w:rFonts w:ascii="Open Sans" w:hAnsi="Open Sans" w:cs="Open Sans"/>
          <w:bCs/>
          <w:iCs/>
          <w:lang w:val="en-GB"/>
        </w:rPr>
      </w:pPr>
      <w:r w:rsidRPr="00D34DCC">
        <w:rPr>
          <w:rFonts w:ascii="Open Sans" w:hAnsi="Open Sans" w:cs="Open Sans"/>
          <w:bCs/>
          <w:iCs/>
          <w:lang w:val="en-GB"/>
        </w:rPr>
        <w:t>For the avoidance of doubt, any successor bodies of any of the above entities shall be entitled to place Orders and shall be deemed Participating Authorities for the purposes of this Framework.</w:t>
      </w:r>
      <w:bookmarkEnd w:id="2"/>
    </w:p>
    <w:bookmarkEnd w:id="4"/>
    <w:p w14:paraId="400349FA" w14:textId="77777777" w:rsidR="006F1022" w:rsidRPr="00D34DCC" w:rsidRDefault="006F1022" w:rsidP="0006115E">
      <w:pPr>
        <w:keepNext w:val="0"/>
        <w:spacing w:before="0" w:after="200" w:line="276" w:lineRule="auto"/>
        <w:outlineLvl w:val="9"/>
        <w:rPr>
          <w:rFonts w:ascii="Open Sans" w:hAnsi="Open Sans" w:cs="Open Sans"/>
        </w:rPr>
      </w:pPr>
    </w:p>
    <w:p w14:paraId="2D067F07" w14:textId="77777777" w:rsidR="006F1022" w:rsidRPr="00D34DCC" w:rsidRDefault="006F1022" w:rsidP="0006115E">
      <w:pPr>
        <w:keepNext w:val="0"/>
        <w:spacing w:before="0" w:after="200" w:line="276" w:lineRule="auto"/>
        <w:outlineLvl w:val="9"/>
        <w:rPr>
          <w:rFonts w:ascii="Open Sans" w:hAnsi="Open Sans" w:cs="Open Sans"/>
          <w:b/>
          <w:u w:val="single"/>
        </w:rPr>
      </w:pPr>
    </w:p>
    <w:p w14:paraId="00CDEBC2" w14:textId="23441A8E" w:rsidR="00E04595" w:rsidRPr="00D34DCC" w:rsidRDefault="00E04595" w:rsidP="00D66F1A">
      <w:pPr>
        <w:keepNext w:val="0"/>
        <w:spacing w:before="0" w:after="160" w:line="278" w:lineRule="auto"/>
        <w:outlineLvl w:val="9"/>
        <w:rPr>
          <w:rFonts w:ascii="Open Sans" w:hAnsi="Open Sans" w:cs="Open Sans"/>
        </w:rPr>
      </w:pPr>
    </w:p>
    <w:sectPr w:rsidR="00E04595" w:rsidRPr="00D34D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5D21" w14:textId="77777777" w:rsidR="00E04595" w:rsidRDefault="00E04595" w:rsidP="00E04595">
      <w:pPr>
        <w:spacing w:before="0" w:line="240" w:lineRule="auto"/>
      </w:pPr>
      <w:r>
        <w:separator/>
      </w:r>
    </w:p>
  </w:endnote>
  <w:endnote w:type="continuationSeparator" w:id="0">
    <w:p w14:paraId="4F0D71D6" w14:textId="77777777" w:rsidR="00E04595" w:rsidRDefault="00E04595" w:rsidP="00E045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0E13" w14:textId="77777777" w:rsidR="00E04595" w:rsidRDefault="00E04595" w:rsidP="00E04595">
      <w:pPr>
        <w:spacing w:before="0" w:line="240" w:lineRule="auto"/>
      </w:pPr>
      <w:r>
        <w:separator/>
      </w:r>
    </w:p>
  </w:footnote>
  <w:footnote w:type="continuationSeparator" w:id="0">
    <w:p w14:paraId="69A57D48" w14:textId="77777777" w:rsidR="00E04595" w:rsidRDefault="00E04595" w:rsidP="00E0459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F8F7" w14:textId="0E05BCEA" w:rsidR="00E04595" w:rsidRDefault="00E04595">
    <w:pPr>
      <w:pStyle w:val="Header"/>
    </w:pPr>
    <w:r>
      <w:rPr>
        <w:noProof/>
      </w:rPr>
      <w:drawing>
        <wp:anchor distT="0" distB="0" distL="114300" distR="114300" simplePos="0" relativeHeight="251660288" behindDoc="1" locked="0" layoutInCell="1" allowOverlap="1" wp14:anchorId="2FD57FDB" wp14:editId="59332A63">
          <wp:simplePos x="0" y="0"/>
          <wp:positionH relativeFrom="margin">
            <wp:posOffset>0</wp:posOffset>
          </wp:positionH>
          <wp:positionV relativeFrom="paragraph">
            <wp:posOffset>-68580</wp:posOffset>
          </wp:positionV>
          <wp:extent cx="3581400" cy="513715"/>
          <wp:effectExtent l="0" t="0" r="0" b="635"/>
          <wp:wrapNone/>
          <wp:docPr id="312584165"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9539" name="Picture 2"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D37F4F5" wp14:editId="19E74AF4">
          <wp:simplePos x="0" y="0"/>
          <wp:positionH relativeFrom="margin">
            <wp:posOffset>4931410</wp:posOffset>
          </wp:positionH>
          <wp:positionV relativeFrom="paragraph">
            <wp:posOffset>-257810</wp:posOffset>
          </wp:positionV>
          <wp:extent cx="1249680" cy="850265"/>
          <wp:effectExtent l="0" t="0" r="7620" b="6985"/>
          <wp:wrapNone/>
          <wp:docPr id="875006664"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62603" name="Picture 1" descr="A logo for a hospita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680" cy="850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57"/>
    <w:multiLevelType w:val="hybridMultilevel"/>
    <w:tmpl w:val="5EA457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F36027"/>
    <w:multiLevelType w:val="hybridMultilevel"/>
    <w:tmpl w:val="F6A480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A66FAC"/>
    <w:multiLevelType w:val="hybridMultilevel"/>
    <w:tmpl w:val="BCF6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5223A"/>
    <w:multiLevelType w:val="hybridMultilevel"/>
    <w:tmpl w:val="7788F9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0F3656"/>
    <w:multiLevelType w:val="hybridMultilevel"/>
    <w:tmpl w:val="AAF04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E82C32"/>
    <w:multiLevelType w:val="hybridMultilevel"/>
    <w:tmpl w:val="34E22F0E"/>
    <w:lvl w:ilvl="0" w:tplc="41886CE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02195E"/>
    <w:multiLevelType w:val="multilevel"/>
    <w:tmpl w:val="BC8A7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C550E"/>
    <w:multiLevelType w:val="hybridMultilevel"/>
    <w:tmpl w:val="8826BC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BB742D"/>
    <w:multiLevelType w:val="hybridMultilevel"/>
    <w:tmpl w:val="739477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DA077A"/>
    <w:multiLevelType w:val="hybridMultilevel"/>
    <w:tmpl w:val="D8F24268"/>
    <w:lvl w:ilvl="0" w:tplc="2828D3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683394"/>
    <w:multiLevelType w:val="hybridMultilevel"/>
    <w:tmpl w:val="04600E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564794"/>
    <w:multiLevelType w:val="multilevel"/>
    <w:tmpl w:val="AABEE912"/>
    <w:lvl w:ilvl="0">
      <w:start w:val="1"/>
      <w:numFmt w:val="decimal"/>
      <w:lvlText w:val="%1."/>
      <w:lvlJc w:val="left"/>
      <w:pPr>
        <w:ind w:left="360" w:hanging="360"/>
      </w:pPr>
      <w:rPr>
        <w:rFonts w:ascii="Arial" w:hAnsi="Arial" w:cs="Arial" w:hint="default"/>
        <w:b/>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954105F"/>
    <w:multiLevelType w:val="hybridMultilevel"/>
    <w:tmpl w:val="A54826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5254C9"/>
    <w:multiLevelType w:val="multilevel"/>
    <w:tmpl w:val="F8B4DD90"/>
    <w:lvl w:ilvl="0">
      <w:start w:val="1"/>
      <w:numFmt w:val="decimal"/>
      <w:lvlText w:val="%1."/>
      <w:lvlJc w:val="left"/>
      <w:pPr>
        <w:ind w:left="360" w:hanging="360"/>
      </w:pPr>
      <w:rPr>
        <w:sz w:val="22"/>
        <w:szCs w:val="22"/>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4" w15:restartNumberingAfterBreak="0">
    <w:nsid w:val="4861069C"/>
    <w:multiLevelType w:val="hybridMultilevel"/>
    <w:tmpl w:val="7340C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EAC5D90"/>
    <w:multiLevelType w:val="hybridMultilevel"/>
    <w:tmpl w:val="768652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5D5B6A"/>
    <w:multiLevelType w:val="hybridMultilevel"/>
    <w:tmpl w:val="67AE1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E66282"/>
    <w:multiLevelType w:val="multilevel"/>
    <w:tmpl w:val="12BC02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462193"/>
    <w:multiLevelType w:val="hybridMultilevel"/>
    <w:tmpl w:val="80DE6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FA1AAE"/>
    <w:multiLevelType w:val="multilevel"/>
    <w:tmpl w:val="1014540C"/>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A65AEE"/>
    <w:multiLevelType w:val="hybridMultilevel"/>
    <w:tmpl w:val="2A80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66FAD"/>
    <w:multiLevelType w:val="hybridMultilevel"/>
    <w:tmpl w:val="001A31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C41EF9"/>
    <w:multiLevelType w:val="multilevel"/>
    <w:tmpl w:val="12BC02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7401729">
    <w:abstractNumId w:val="18"/>
  </w:num>
  <w:num w:numId="2" w16cid:durableId="1773628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985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648346">
    <w:abstractNumId w:val="12"/>
  </w:num>
  <w:num w:numId="5" w16cid:durableId="2048555616">
    <w:abstractNumId w:val="16"/>
  </w:num>
  <w:num w:numId="6" w16cid:durableId="604965205">
    <w:abstractNumId w:val="3"/>
  </w:num>
  <w:num w:numId="7" w16cid:durableId="1281690074">
    <w:abstractNumId w:val="6"/>
  </w:num>
  <w:num w:numId="8" w16cid:durableId="888028898">
    <w:abstractNumId w:val="15"/>
  </w:num>
  <w:num w:numId="9" w16cid:durableId="1596085566">
    <w:abstractNumId w:val="8"/>
  </w:num>
  <w:num w:numId="10" w16cid:durableId="855658400">
    <w:abstractNumId w:val="1"/>
  </w:num>
  <w:num w:numId="11" w16cid:durableId="1138762495">
    <w:abstractNumId w:val="10"/>
  </w:num>
  <w:num w:numId="12" w16cid:durableId="1959022083">
    <w:abstractNumId w:val="7"/>
  </w:num>
  <w:num w:numId="13" w16cid:durableId="588805927">
    <w:abstractNumId w:val="21"/>
  </w:num>
  <w:num w:numId="14" w16cid:durableId="240405720">
    <w:abstractNumId w:val="0"/>
  </w:num>
  <w:num w:numId="15" w16cid:durableId="531378513">
    <w:abstractNumId w:val="14"/>
  </w:num>
  <w:num w:numId="16" w16cid:durableId="321085365">
    <w:abstractNumId w:val="17"/>
  </w:num>
  <w:num w:numId="17" w16cid:durableId="2024817491">
    <w:abstractNumId w:val="0"/>
  </w:num>
  <w:num w:numId="18" w16cid:durableId="1986934691">
    <w:abstractNumId w:val="4"/>
  </w:num>
  <w:num w:numId="19" w16cid:durableId="516234569">
    <w:abstractNumId w:val="11"/>
  </w:num>
  <w:num w:numId="20" w16cid:durableId="1260987253">
    <w:abstractNumId w:val="2"/>
  </w:num>
  <w:num w:numId="21" w16cid:durableId="1116564868">
    <w:abstractNumId w:val="5"/>
  </w:num>
  <w:num w:numId="22" w16cid:durableId="1541430110">
    <w:abstractNumId w:val="20"/>
  </w:num>
  <w:num w:numId="23" w16cid:durableId="1523133638">
    <w:abstractNumId w:val="22"/>
  </w:num>
  <w:num w:numId="24" w16cid:durableId="1575965440">
    <w:abstractNumId w:val="19"/>
  </w:num>
  <w:num w:numId="25" w16cid:durableId="172766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5"/>
    <w:rsid w:val="0006115E"/>
    <w:rsid w:val="00145D18"/>
    <w:rsid w:val="00180B26"/>
    <w:rsid w:val="00194640"/>
    <w:rsid w:val="001F69D5"/>
    <w:rsid w:val="00234508"/>
    <w:rsid w:val="00393791"/>
    <w:rsid w:val="00396394"/>
    <w:rsid w:val="00450214"/>
    <w:rsid w:val="0045515B"/>
    <w:rsid w:val="0057573A"/>
    <w:rsid w:val="0058011C"/>
    <w:rsid w:val="005842DB"/>
    <w:rsid w:val="005E6BDA"/>
    <w:rsid w:val="00615190"/>
    <w:rsid w:val="00615A5C"/>
    <w:rsid w:val="006170D8"/>
    <w:rsid w:val="006E5E34"/>
    <w:rsid w:val="006F1022"/>
    <w:rsid w:val="00777BCE"/>
    <w:rsid w:val="007D373C"/>
    <w:rsid w:val="00835768"/>
    <w:rsid w:val="008E485D"/>
    <w:rsid w:val="00930932"/>
    <w:rsid w:val="00934762"/>
    <w:rsid w:val="00961B62"/>
    <w:rsid w:val="009B4B2D"/>
    <w:rsid w:val="009D5D98"/>
    <w:rsid w:val="00A0322C"/>
    <w:rsid w:val="00B33AEE"/>
    <w:rsid w:val="00B64F66"/>
    <w:rsid w:val="00BC4F51"/>
    <w:rsid w:val="00BD29BF"/>
    <w:rsid w:val="00BD40E8"/>
    <w:rsid w:val="00BD61B1"/>
    <w:rsid w:val="00C308FE"/>
    <w:rsid w:val="00C8650B"/>
    <w:rsid w:val="00C975FD"/>
    <w:rsid w:val="00D116F8"/>
    <w:rsid w:val="00D34DCC"/>
    <w:rsid w:val="00D66F1A"/>
    <w:rsid w:val="00DA611D"/>
    <w:rsid w:val="00E023C9"/>
    <w:rsid w:val="00E04595"/>
    <w:rsid w:val="00EC0794"/>
    <w:rsid w:val="00EE0408"/>
    <w:rsid w:val="00F251F3"/>
    <w:rsid w:val="00F5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C5EA"/>
  <w15:chartTrackingRefBased/>
  <w15:docId w15:val="{4B279E12-7D33-4B1D-B4A1-DA2F5322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95"/>
    <w:pPr>
      <w:keepNext/>
      <w:spacing w:before="320" w:after="0" w:line="300" w:lineRule="atLeast"/>
      <w:jc w:val="both"/>
      <w:outlineLvl w:val="0"/>
    </w:pPr>
    <w:rPr>
      <w:rFonts w:ascii="Arial" w:eastAsia="Times New Roman" w:hAnsi="Arial" w:cs="Arial"/>
      <w:kern w:val="28"/>
      <w14:ligatures w14:val="none"/>
    </w:rPr>
  </w:style>
  <w:style w:type="paragraph" w:styleId="Heading1">
    <w:name w:val="heading 1"/>
    <w:basedOn w:val="Normal"/>
    <w:next w:val="Normal"/>
    <w:link w:val="Heading1Char"/>
    <w:uiPriority w:val="9"/>
    <w:qFormat/>
    <w:rsid w:val="00E04595"/>
    <w:pPr>
      <w:keepLines/>
      <w:spacing w:before="360" w:after="80" w:line="278" w:lineRule="auto"/>
      <w:jc w:val="left"/>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595"/>
    <w:pPr>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595"/>
    <w:pPr>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595"/>
    <w:pPr>
      <w:keepLines/>
      <w:spacing w:before="80" w:after="40" w:line="278"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4595"/>
    <w:pPr>
      <w:keepLines/>
      <w:spacing w:before="80" w:after="40" w:line="278"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4595"/>
    <w:pPr>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4595"/>
    <w:pPr>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4595"/>
    <w:pPr>
      <w:keepLines/>
      <w:spacing w:before="0"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4595"/>
    <w:pPr>
      <w:keepLines/>
      <w:spacing w:before="0"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595"/>
    <w:rPr>
      <w:rFonts w:eastAsiaTheme="majorEastAsia" w:cstheme="majorBidi"/>
      <w:color w:val="272727" w:themeColor="text1" w:themeTint="D8"/>
    </w:rPr>
  </w:style>
  <w:style w:type="paragraph" w:styleId="Title">
    <w:name w:val="Title"/>
    <w:basedOn w:val="Normal"/>
    <w:next w:val="Normal"/>
    <w:link w:val="TitleChar"/>
    <w:uiPriority w:val="10"/>
    <w:qFormat/>
    <w:rsid w:val="00E04595"/>
    <w:pPr>
      <w:keepNext w:val="0"/>
      <w:spacing w:before="0" w:after="80" w:line="240" w:lineRule="auto"/>
      <w:contextualSpacing/>
      <w:jc w:val="left"/>
      <w:outlineLvl w:val="9"/>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E0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595"/>
    <w:pPr>
      <w:keepNext w:val="0"/>
      <w:numPr>
        <w:ilvl w:val="1"/>
      </w:numPr>
      <w:spacing w:before="0" w:after="160" w:line="278" w:lineRule="auto"/>
      <w:jc w:val="left"/>
      <w:outlineLvl w:val="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595"/>
    <w:pPr>
      <w:keepNext w:val="0"/>
      <w:spacing w:before="160" w:after="160" w:line="278" w:lineRule="auto"/>
      <w:jc w:val="center"/>
      <w:outlineLvl w:val="9"/>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4595"/>
    <w:rPr>
      <w:i/>
      <w:iCs/>
      <w:color w:val="404040" w:themeColor="text1" w:themeTint="BF"/>
    </w:rPr>
  </w:style>
  <w:style w:type="paragraph" w:styleId="ListParagraph">
    <w:name w:val="List Paragraph"/>
    <w:basedOn w:val="Normal"/>
    <w:uiPriority w:val="34"/>
    <w:qFormat/>
    <w:rsid w:val="00E04595"/>
    <w:pPr>
      <w:keepNext w:val="0"/>
      <w:spacing w:before="0" w:after="160" w:line="278" w:lineRule="auto"/>
      <w:ind w:left="720"/>
      <w:contextualSpacing/>
      <w:jc w:val="left"/>
      <w:outlineLvl w:val="9"/>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4595"/>
    <w:rPr>
      <w:i/>
      <w:iCs/>
      <w:color w:val="0F4761" w:themeColor="accent1" w:themeShade="BF"/>
    </w:rPr>
  </w:style>
  <w:style w:type="paragraph" w:styleId="IntenseQuote">
    <w:name w:val="Intense Quote"/>
    <w:basedOn w:val="Normal"/>
    <w:next w:val="Normal"/>
    <w:link w:val="IntenseQuoteChar"/>
    <w:uiPriority w:val="30"/>
    <w:qFormat/>
    <w:rsid w:val="00E04595"/>
    <w:pPr>
      <w:keepNext w:val="0"/>
      <w:pBdr>
        <w:top w:val="single" w:sz="4" w:space="10" w:color="0F4761" w:themeColor="accent1" w:themeShade="BF"/>
        <w:bottom w:val="single" w:sz="4" w:space="10" w:color="0F4761" w:themeColor="accent1" w:themeShade="BF"/>
      </w:pBdr>
      <w:spacing w:before="360" w:after="360" w:line="278" w:lineRule="auto"/>
      <w:ind w:left="864" w:right="864"/>
      <w:jc w:val="center"/>
      <w:outlineLvl w:val="9"/>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4595"/>
    <w:rPr>
      <w:i/>
      <w:iCs/>
      <w:color w:val="0F4761" w:themeColor="accent1" w:themeShade="BF"/>
    </w:rPr>
  </w:style>
  <w:style w:type="character" w:styleId="IntenseReference">
    <w:name w:val="Intense Reference"/>
    <w:basedOn w:val="DefaultParagraphFont"/>
    <w:uiPriority w:val="32"/>
    <w:qFormat/>
    <w:rsid w:val="00E04595"/>
    <w:rPr>
      <w:b/>
      <w:bCs/>
      <w:smallCaps/>
      <w:color w:val="0F4761" w:themeColor="accent1" w:themeShade="BF"/>
      <w:spacing w:val="5"/>
    </w:rPr>
  </w:style>
  <w:style w:type="paragraph" w:customStyle="1" w:styleId="Default">
    <w:name w:val="Default"/>
    <w:qFormat/>
    <w:rsid w:val="00E04595"/>
    <w:pPr>
      <w:widowControl w:val="0"/>
      <w:autoSpaceDE w:val="0"/>
      <w:autoSpaceDN w:val="0"/>
      <w:adjustRightInd w:val="0"/>
      <w:spacing w:after="0" w:line="240" w:lineRule="auto"/>
    </w:pPr>
    <w:rPr>
      <w:rFonts w:ascii="Arial" w:eastAsia="Times New Roman" w:hAnsi="Arial" w:cs="Arial"/>
      <w:color w:val="000000"/>
      <w:kern w:val="0"/>
      <w:lang w:val="en-US"/>
      <w14:ligatures w14:val="none"/>
    </w:rPr>
  </w:style>
  <w:style w:type="character" w:styleId="PlaceholderText">
    <w:name w:val="Placeholder Text"/>
    <w:basedOn w:val="DefaultParagraphFont"/>
    <w:uiPriority w:val="99"/>
    <w:semiHidden/>
    <w:rsid w:val="00E04595"/>
    <w:rPr>
      <w:color w:val="666666"/>
    </w:rPr>
  </w:style>
  <w:style w:type="paragraph" w:styleId="Header">
    <w:name w:val="header"/>
    <w:basedOn w:val="Normal"/>
    <w:link w:val="HeaderChar"/>
    <w:uiPriority w:val="99"/>
    <w:unhideWhenUsed/>
    <w:rsid w:val="00E0459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04595"/>
    <w:rPr>
      <w:rFonts w:ascii="Arial" w:eastAsia="Times New Roman" w:hAnsi="Arial" w:cs="Arial"/>
      <w:kern w:val="28"/>
      <w14:ligatures w14:val="none"/>
    </w:rPr>
  </w:style>
  <w:style w:type="paragraph" w:styleId="Footer">
    <w:name w:val="footer"/>
    <w:basedOn w:val="Normal"/>
    <w:link w:val="FooterChar"/>
    <w:uiPriority w:val="99"/>
    <w:unhideWhenUsed/>
    <w:rsid w:val="00E0459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04595"/>
    <w:rPr>
      <w:rFonts w:ascii="Arial" w:eastAsia="Times New Roman" w:hAnsi="Arial" w:cs="Arial"/>
      <w:kern w:val="28"/>
      <w14:ligatures w14:val="none"/>
    </w:rPr>
  </w:style>
  <w:style w:type="paragraph" w:styleId="NoSpacing">
    <w:name w:val="No Spacing"/>
    <w:uiPriority w:val="1"/>
    <w:qFormat/>
    <w:rsid w:val="006F1022"/>
    <w:pPr>
      <w:spacing w:after="0" w:line="240" w:lineRule="auto"/>
    </w:pPr>
    <w:rPr>
      <w:kern w:val="0"/>
      <w:sz w:val="22"/>
      <w:szCs w:val="22"/>
      <w14:ligatures w14:val="none"/>
    </w:rPr>
  </w:style>
  <w:style w:type="character" w:styleId="Hyperlink">
    <w:name w:val="Hyperlink"/>
    <w:basedOn w:val="DefaultParagraphFont"/>
    <w:uiPriority w:val="99"/>
    <w:unhideWhenUsed/>
    <w:rsid w:val="006F1022"/>
    <w:rPr>
      <w:color w:val="0000FF"/>
      <w:u w:val="single"/>
    </w:rPr>
  </w:style>
  <w:style w:type="paragraph" w:styleId="FootnoteText">
    <w:name w:val="footnote text"/>
    <w:basedOn w:val="Normal"/>
    <w:link w:val="FootnoteTextChar"/>
    <w:uiPriority w:val="99"/>
    <w:semiHidden/>
    <w:unhideWhenUsed/>
    <w:rsid w:val="006F1022"/>
    <w:pPr>
      <w:keepNext w:val="0"/>
      <w:spacing w:before="0" w:line="240" w:lineRule="auto"/>
      <w:jc w:val="left"/>
      <w:outlineLvl w:val="9"/>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semiHidden/>
    <w:rsid w:val="006F1022"/>
    <w:rPr>
      <w:kern w:val="0"/>
      <w:sz w:val="20"/>
      <w:szCs w:val="20"/>
      <w14:ligatures w14:val="none"/>
    </w:rPr>
  </w:style>
  <w:style w:type="character" w:styleId="FootnoteReference">
    <w:name w:val="footnote reference"/>
    <w:basedOn w:val="DefaultParagraphFont"/>
    <w:uiPriority w:val="99"/>
    <w:semiHidden/>
    <w:unhideWhenUsed/>
    <w:rsid w:val="006F1022"/>
    <w:rPr>
      <w:vertAlign w:val="superscript"/>
    </w:rPr>
  </w:style>
  <w:style w:type="character" w:styleId="CommentReference">
    <w:name w:val="annotation reference"/>
    <w:basedOn w:val="DefaultParagraphFont"/>
    <w:uiPriority w:val="99"/>
    <w:semiHidden/>
    <w:unhideWhenUsed/>
    <w:rsid w:val="00934762"/>
    <w:rPr>
      <w:sz w:val="16"/>
      <w:szCs w:val="16"/>
    </w:rPr>
  </w:style>
  <w:style w:type="paragraph" w:styleId="CommentText">
    <w:name w:val="annotation text"/>
    <w:basedOn w:val="Normal"/>
    <w:link w:val="CommentTextChar"/>
    <w:uiPriority w:val="99"/>
    <w:unhideWhenUsed/>
    <w:rsid w:val="00934762"/>
    <w:pPr>
      <w:spacing w:line="240" w:lineRule="auto"/>
    </w:pPr>
    <w:rPr>
      <w:sz w:val="20"/>
      <w:szCs w:val="20"/>
    </w:rPr>
  </w:style>
  <w:style w:type="character" w:customStyle="1" w:styleId="CommentTextChar">
    <w:name w:val="Comment Text Char"/>
    <w:basedOn w:val="DefaultParagraphFont"/>
    <w:link w:val="CommentText"/>
    <w:uiPriority w:val="99"/>
    <w:rsid w:val="00934762"/>
    <w:rPr>
      <w:rFonts w:ascii="Arial" w:eastAsia="Times New Roman" w:hAnsi="Arial" w:cs="Arial"/>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934762"/>
    <w:rPr>
      <w:b/>
      <w:bCs/>
    </w:rPr>
  </w:style>
  <w:style w:type="character" w:customStyle="1" w:styleId="CommentSubjectChar">
    <w:name w:val="Comment Subject Char"/>
    <w:basedOn w:val="CommentTextChar"/>
    <w:link w:val="CommentSubject"/>
    <w:uiPriority w:val="99"/>
    <w:semiHidden/>
    <w:rsid w:val="00934762"/>
    <w:rPr>
      <w:rFonts w:ascii="Arial" w:eastAsia="Times New Roman" w:hAnsi="Arial" w:cs="Arial"/>
      <w:b/>
      <w:bCs/>
      <w:kern w:val="28"/>
      <w:sz w:val="20"/>
      <w:szCs w:val="20"/>
      <w14:ligatures w14:val="none"/>
    </w:rPr>
  </w:style>
  <w:style w:type="character" w:styleId="FollowedHyperlink">
    <w:name w:val="FollowedHyperlink"/>
    <w:basedOn w:val="DefaultParagraphFont"/>
    <w:uiPriority w:val="99"/>
    <w:semiHidden/>
    <w:unhideWhenUsed/>
    <w:rsid w:val="003937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560">
      <w:bodyDiv w:val="1"/>
      <w:marLeft w:val="0"/>
      <w:marRight w:val="0"/>
      <w:marTop w:val="0"/>
      <w:marBottom w:val="0"/>
      <w:divBdr>
        <w:top w:val="none" w:sz="0" w:space="0" w:color="auto"/>
        <w:left w:val="none" w:sz="0" w:space="0" w:color="auto"/>
        <w:bottom w:val="none" w:sz="0" w:space="0" w:color="auto"/>
        <w:right w:val="none" w:sz="0" w:space="0" w:color="auto"/>
      </w:divBdr>
    </w:div>
    <w:div w:id="10172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HADDLEY, Marion (COUNTESS OF CHESTER HOSPITAL NHS FOUNDATION TRUST)</dc:creator>
  <cp:keywords/>
  <dc:description/>
  <cp:lastModifiedBy>HULME, Jonathan (COUNTESS OF CHESTER HOSPITAL NHS FOUNDATION TRUST)</cp:lastModifiedBy>
  <cp:revision>4</cp:revision>
  <dcterms:created xsi:type="dcterms:W3CDTF">2026-01-13T10:26:00Z</dcterms:created>
  <dcterms:modified xsi:type="dcterms:W3CDTF">2026-02-17T13:47:00Z</dcterms:modified>
</cp:coreProperties>
</file>