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24" w:type="dxa"/>
        <w:tblInd w:w="-431" w:type="dxa"/>
        <w:tblLook w:val="04A0" w:firstRow="1" w:lastRow="0" w:firstColumn="1" w:lastColumn="0" w:noHBand="0" w:noVBand="1"/>
      </w:tblPr>
      <w:tblGrid>
        <w:gridCol w:w="9924"/>
      </w:tblGrid>
      <w:tr w:rsidR="00AA3442" w:rsidRPr="002212B8" w14:paraId="5DB72E3A" w14:textId="77777777" w:rsidTr="00B65E1D">
        <w:tc>
          <w:tcPr>
            <w:tcW w:w="9924" w:type="dxa"/>
            <w:shd w:val="clear" w:color="auto" w:fill="F2CEED" w:themeFill="accent5" w:themeFillTint="33"/>
          </w:tcPr>
          <w:p w14:paraId="1B81CD8C" w14:textId="4F7F0FF2" w:rsidR="00AA3442" w:rsidRPr="002212B8" w:rsidRDefault="00AA3442" w:rsidP="00B65E1D">
            <w:pPr>
              <w:spacing w:after="160" w:line="259" w:lineRule="auto"/>
              <w:rPr>
                <w:rFonts w:ascii="Arial" w:eastAsiaTheme="minorHAnsi" w:hAnsi="Arial" w:cs="Arial"/>
                <w:b/>
                <w:bCs/>
                <w:sz w:val="22"/>
                <w:szCs w:val="22"/>
                <w:lang w:eastAsia="en-US"/>
              </w:rPr>
            </w:pPr>
            <w:r w:rsidRPr="00ED164F">
              <w:rPr>
                <w:rFonts w:ascii="Arial" w:eastAsiaTheme="minorHAnsi" w:hAnsi="Arial" w:cs="Arial"/>
                <w:b/>
                <w:bCs/>
                <w:sz w:val="22"/>
                <w:szCs w:val="22"/>
                <w:lang w:val="en-US" w:eastAsia="en-US"/>
              </w:rPr>
              <w:t>Provider feedback/ Q&amp;A</w:t>
            </w:r>
          </w:p>
        </w:tc>
      </w:tr>
      <w:tr w:rsidR="00AA3442" w:rsidRPr="002212B8" w14:paraId="688021F5" w14:textId="77777777" w:rsidTr="00B65E1D">
        <w:tc>
          <w:tcPr>
            <w:tcW w:w="9924" w:type="dxa"/>
          </w:tcPr>
          <w:p w14:paraId="57755404" w14:textId="77777777" w:rsidR="00AA3442" w:rsidRPr="00FB6737" w:rsidRDefault="00AA3442" w:rsidP="00B65E1D">
            <w:pPr>
              <w:rPr>
                <w:rFonts w:ascii="Arial" w:hAnsi="Arial" w:cs="Arial"/>
                <w:b/>
                <w:bCs/>
                <w:sz w:val="22"/>
                <w:szCs w:val="22"/>
              </w:rPr>
            </w:pPr>
            <w:r w:rsidRPr="00FB6737">
              <w:rPr>
                <w:rFonts w:ascii="Arial" w:hAnsi="Arial" w:cs="Arial"/>
                <w:b/>
                <w:bCs/>
                <w:sz w:val="22"/>
                <w:szCs w:val="22"/>
              </w:rPr>
              <w:t>Q</w:t>
            </w:r>
            <w:r>
              <w:rPr>
                <w:rFonts w:ascii="Arial" w:hAnsi="Arial" w:cs="Arial"/>
                <w:b/>
                <w:bCs/>
                <w:sz w:val="22"/>
                <w:szCs w:val="22"/>
              </w:rPr>
              <w:t xml:space="preserve">uestion 1 </w:t>
            </w:r>
          </w:p>
          <w:p w14:paraId="4B24FB57" w14:textId="77777777" w:rsidR="00AA3442" w:rsidRDefault="00AA3442" w:rsidP="00B65E1D">
            <w:pPr>
              <w:rPr>
                <w:rFonts w:ascii="Arial" w:hAnsi="Arial" w:cs="Arial"/>
                <w:sz w:val="22"/>
                <w:szCs w:val="22"/>
              </w:rPr>
            </w:pPr>
            <w:r w:rsidRPr="00FB6737">
              <w:rPr>
                <w:rFonts w:ascii="Arial" w:hAnsi="Arial" w:cs="Arial"/>
                <w:b/>
                <w:bCs/>
                <w:sz w:val="22"/>
                <w:szCs w:val="22"/>
              </w:rPr>
              <w:t>Segregation of Residents</w:t>
            </w:r>
            <w:r w:rsidRPr="00FB6737">
              <w:rPr>
                <w:rFonts w:ascii="Arial" w:hAnsi="Arial" w:cs="Arial"/>
                <w:sz w:val="22"/>
                <w:szCs w:val="22"/>
              </w:rPr>
              <w:t xml:space="preserve"> – Why is the Trust segregating male and female residents, given that providers already offer safe and secure spaces rather than separate wings? Is there evidence to demonstrate that there are sufficient referrals for both male and female residents to justify this approach? Segregation could risk creating void beds. Is there scope to consider a non-segregated model that still ensures resident safety?</w:t>
            </w:r>
          </w:p>
          <w:p w14:paraId="64CB02EF" w14:textId="77777777" w:rsidR="00AA3442" w:rsidRPr="00FB6737" w:rsidRDefault="00AA3442" w:rsidP="00B65E1D">
            <w:pPr>
              <w:rPr>
                <w:rFonts w:ascii="Arial" w:hAnsi="Arial" w:cs="Arial"/>
                <w:sz w:val="22"/>
                <w:szCs w:val="22"/>
              </w:rPr>
            </w:pPr>
          </w:p>
          <w:p w14:paraId="5B3C6BDB" w14:textId="77777777" w:rsidR="00AA3442" w:rsidRPr="00FB6737" w:rsidRDefault="00AA3442" w:rsidP="00B65E1D">
            <w:pPr>
              <w:rPr>
                <w:rFonts w:ascii="Arial" w:hAnsi="Arial" w:cs="Arial"/>
                <w:b/>
                <w:bCs/>
                <w:sz w:val="22"/>
                <w:szCs w:val="22"/>
              </w:rPr>
            </w:pPr>
            <w:r w:rsidRPr="00FB6737">
              <w:rPr>
                <w:rFonts w:ascii="Arial" w:hAnsi="Arial" w:cs="Arial"/>
                <w:b/>
                <w:bCs/>
                <w:sz w:val="22"/>
                <w:szCs w:val="22"/>
              </w:rPr>
              <w:t>Answer</w:t>
            </w:r>
          </w:p>
          <w:p w14:paraId="646CFCE9" w14:textId="533A1547" w:rsidR="00B965D5" w:rsidRPr="000448D1" w:rsidRDefault="00C132F9" w:rsidP="00B965D5">
            <w:pPr>
              <w:rPr>
                <w:rFonts w:ascii="Arial" w:hAnsi="Arial" w:cs="Arial"/>
                <w:color w:val="FF0000"/>
                <w:sz w:val="22"/>
                <w:szCs w:val="22"/>
              </w:rPr>
            </w:pPr>
            <w:r>
              <w:rPr>
                <w:rFonts w:ascii="Arial" w:hAnsi="Arial" w:cs="Arial"/>
                <w:color w:val="FF0000"/>
                <w:sz w:val="22"/>
                <w:szCs w:val="22"/>
              </w:rPr>
              <w:t>T</w:t>
            </w:r>
            <w:r w:rsidR="00B965D5" w:rsidRPr="00C132F9">
              <w:rPr>
                <w:rFonts w:ascii="Arial" w:hAnsi="Arial" w:cs="Arial"/>
                <w:color w:val="FF0000"/>
                <w:sz w:val="22"/>
                <w:szCs w:val="22"/>
              </w:rPr>
              <w:t xml:space="preserve">his is </w:t>
            </w:r>
            <w:r w:rsidR="00B965D5" w:rsidRPr="000448D1">
              <w:rPr>
                <w:rFonts w:ascii="Arial" w:hAnsi="Arial" w:cs="Arial"/>
                <w:color w:val="FF0000"/>
                <w:sz w:val="22"/>
                <w:szCs w:val="22"/>
              </w:rPr>
              <w:t>a fair and reasonable challenge to consider. The Trust is favouring segregation because of the complexity of the patient cohort</w:t>
            </w:r>
            <w:r w:rsidR="003A7569" w:rsidRPr="000448D1">
              <w:rPr>
                <w:rFonts w:ascii="Arial" w:hAnsi="Arial" w:cs="Arial"/>
                <w:color w:val="FF0000"/>
                <w:sz w:val="22"/>
                <w:szCs w:val="22"/>
              </w:rPr>
              <w:t xml:space="preserve"> and </w:t>
            </w:r>
            <w:r w:rsidR="00691350">
              <w:rPr>
                <w:rFonts w:ascii="Arial" w:hAnsi="Arial" w:cs="Arial"/>
                <w:color w:val="FF0000"/>
                <w:sz w:val="22"/>
                <w:szCs w:val="22"/>
              </w:rPr>
              <w:t xml:space="preserve">to manage </w:t>
            </w:r>
            <w:r w:rsidR="003A7569" w:rsidRPr="000448D1">
              <w:rPr>
                <w:rFonts w:ascii="Arial" w:hAnsi="Arial" w:cs="Arial"/>
                <w:color w:val="FF0000"/>
                <w:sz w:val="22"/>
                <w:szCs w:val="22"/>
              </w:rPr>
              <w:t>risk</w:t>
            </w:r>
            <w:r w:rsidR="00691350">
              <w:rPr>
                <w:rFonts w:ascii="Arial" w:hAnsi="Arial" w:cs="Arial"/>
                <w:color w:val="FF0000"/>
                <w:sz w:val="22"/>
                <w:szCs w:val="22"/>
              </w:rPr>
              <w:t xml:space="preserve"> effectively and safely</w:t>
            </w:r>
            <w:r w:rsidR="003A7569" w:rsidRPr="000448D1">
              <w:rPr>
                <w:rFonts w:ascii="Arial" w:hAnsi="Arial" w:cs="Arial"/>
                <w:color w:val="FF0000"/>
                <w:sz w:val="22"/>
                <w:szCs w:val="22"/>
              </w:rPr>
              <w:t>.</w:t>
            </w:r>
            <w:r w:rsidR="00691350">
              <w:rPr>
                <w:rFonts w:ascii="Arial" w:hAnsi="Arial" w:cs="Arial"/>
                <w:color w:val="FF0000"/>
                <w:sz w:val="22"/>
                <w:szCs w:val="22"/>
              </w:rPr>
              <w:t xml:space="preserve"> However, we are open</w:t>
            </w:r>
            <w:r w:rsidR="00320ED4" w:rsidRPr="000448D1">
              <w:rPr>
                <w:rFonts w:ascii="Arial" w:hAnsi="Arial" w:cs="Arial"/>
                <w:color w:val="FF0000"/>
                <w:sz w:val="22"/>
                <w:szCs w:val="22"/>
              </w:rPr>
              <w:t xml:space="preserve"> </w:t>
            </w:r>
            <w:r w:rsidR="00691350">
              <w:rPr>
                <w:rFonts w:ascii="Arial" w:hAnsi="Arial" w:cs="Arial"/>
                <w:color w:val="FF0000"/>
                <w:sz w:val="22"/>
                <w:szCs w:val="22"/>
              </w:rPr>
              <w:t xml:space="preserve">to </w:t>
            </w:r>
            <w:r w:rsidR="00ED738C">
              <w:rPr>
                <w:rFonts w:ascii="Arial" w:hAnsi="Arial" w:cs="Arial"/>
                <w:color w:val="FF0000"/>
                <w:sz w:val="22"/>
                <w:szCs w:val="22"/>
              </w:rPr>
              <w:t xml:space="preserve">adopting a flexible approach to integration and to </w:t>
            </w:r>
            <w:r w:rsidR="00691350">
              <w:rPr>
                <w:rFonts w:ascii="Arial" w:hAnsi="Arial" w:cs="Arial"/>
                <w:color w:val="FF0000"/>
                <w:sz w:val="22"/>
                <w:szCs w:val="22"/>
              </w:rPr>
              <w:t>reviewing this during the contract term</w:t>
            </w:r>
            <w:r w:rsidR="00ED738C">
              <w:rPr>
                <w:rFonts w:ascii="Arial" w:hAnsi="Arial" w:cs="Arial"/>
                <w:color w:val="FF0000"/>
                <w:sz w:val="22"/>
                <w:szCs w:val="22"/>
              </w:rPr>
              <w:t xml:space="preserve">, </w:t>
            </w:r>
            <w:r w:rsidR="00691350">
              <w:rPr>
                <w:rFonts w:ascii="Arial" w:hAnsi="Arial" w:cs="Arial"/>
                <w:color w:val="FF0000"/>
                <w:sz w:val="22"/>
                <w:szCs w:val="22"/>
              </w:rPr>
              <w:t xml:space="preserve">in conjunction with the </w:t>
            </w:r>
            <w:r w:rsidR="00D35CCA">
              <w:rPr>
                <w:rFonts w:ascii="Arial" w:hAnsi="Arial" w:cs="Arial"/>
                <w:color w:val="FF0000"/>
                <w:sz w:val="22"/>
                <w:szCs w:val="22"/>
              </w:rPr>
              <w:t xml:space="preserve">chosen </w:t>
            </w:r>
            <w:r w:rsidR="00691350">
              <w:rPr>
                <w:rFonts w:ascii="Arial" w:hAnsi="Arial" w:cs="Arial"/>
                <w:color w:val="FF0000"/>
                <w:sz w:val="22"/>
                <w:szCs w:val="22"/>
              </w:rPr>
              <w:t>provider.</w:t>
            </w:r>
          </w:p>
          <w:p w14:paraId="56429C78" w14:textId="77777777" w:rsidR="00B965D5" w:rsidRPr="000448D1" w:rsidRDefault="00B965D5" w:rsidP="00B65E1D">
            <w:pPr>
              <w:rPr>
                <w:rFonts w:ascii="Arial" w:hAnsi="Arial" w:cs="Arial"/>
                <w:color w:val="FF0000"/>
                <w:sz w:val="22"/>
                <w:szCs w:val="22"/>
              </w:rPr>
            </w:pPr>
          </w:p>
          <w:p w14:paraId="38029304" w14:textId="762721A5" w:rsidR="00AA3442" w:rsidRPr="000448D1" w:rsidRDefault="00AA3442" w:rsidP="00B65E1D">
            <w:pPr>
              <w:rPr>
                <w:rFonts w:ascii="Arial" w:hAnsi="Arial" w:cs="Arial"/>
                <w:color w:val="FF0000"/>
                <w:sz w:val="22"/>
                <w:szCs w:val="22"/>
              </w:rPr>
            </w:pPr>
            <w:r w:rsidRPr="000448D1">
              <w:rPr>
                <w:rFonts w:ascii="Arial" w:hAnsi="Arial" w:cs="Arial"/>
                <w:color w:val="FF0000"/>
                <w:sz w:val="22"/>
                <w:szCs w:val="22"/>
              </w:rPr>
              <w:t xml:space="preserve">At present, there is a higher number of out-of-area (OOA) male referrals. However, there are also enough OOA female referrals to fill the unit. </w:t>
            </w:r>
          </w:p>
          <w:p w14:paraId="55CECDDA" w14:textId="77777777" w:rsidR="00AA3442" w:rsidRDefault="00AA3442" w:rsidP="00B65E1D">
            <w:pPr>
              <w:rPr>
                <w:rFonts w:ascii="Arial" w:hAnsi="Arial" w:cs="Arial"/>
                <w:sz w:val="22"/>
                <w:szCs w:val="22"/>
              </w:rPr>
            </w:pPr>
          </w:p>
          <w:p w14:paraId="79BC1662" w14:textId="77777777" w:rsidR="00AA3442" w:rsidRPr="00FB6737" w:rsidRDefault="00AA3442" w:rsidP="00B65E1D">
            <w:pPr>
              <w:rPr>
                <w:rFonts w:ascii="Arial" w:hAnsi="Arial" w:cs="Arial"/>
                <w:b/>
                <w:bCs/>
                <w:sz w:val="22"/>
                <w:szCs w:val="22"/>
              </w:rPr>
            </w:pPr>
            <w:r w:rsidRPr="00FB6737">
              <w:rPr>
                <w:rFonts w:ascii="Arial" w:hAnsi="Arial" w:cs="Arial"/>
                <w:b/>
                <w:bCs/>
                <w:sz w:val="22"/>
                <w:szCs w:val="22"/>
              </w:rPr>
              <w:t>Question</w:t>
            </w:r>
            <w:r>
              <w:rPr>
                <w:rFonts w:ascii="Arial" w:hAnsi="Arial" w:cs="Arial"/>
                <w:b/>
                <w:bCs/>
                <w:sz w:val="22"/>
                <w:szCs w:val="22"/>
              </w:rPr>
              <w:t xml:space="preserve"> 2 </w:t>
            </w:r>
          </w:p>
          <w:p w14:paraId="3FB3A6E9" w14:textId="77777777" w:rsidR="00AA3442" w:rsidRDefault="00AA3442" w:rsidP="00B65E1D">
            <w:pPr>
              <w:rPr>
                <w:rFonts w:ascii="Arial" w:hAnsi="Arial" w:cs="Arial"/>
                <w:sz w:val="22"/>
                <w:szCs w:val="22"/>
              </w:rPr>
            </w:pPr>
            <w:r w:rsidRPr="00FB6737">
              <w:rPr>
                <w:rFonts w:ascii="Arial" w:hAnsi="Arial" w:cs="Arial"/>
                <w:b/>
                <w:bCs/>
                <w:sz w:val="22"/>
                <w:szCs w:val="22"/>
              </w:rPr>
              <w:t>TUPE Arrangements</w:t>
            </w:r>
            <w:r w:rsidRPr="00FB6737">
              <w:rPr>
                <w:rFonts w:ascii="Arial" w:hAnsi="Arial" w:cs="Arial"/>
                <w:sz w:val="22"/>
                <w:szCs w:val="22"/>
              </w:rPr>
              <w:t xml:space="preserve"> </w:t>
            </w:r>
            <w:r>
              <w:rPr>
                <w:rFonts w:ascii="Arial" w:hAnsi="Arial" w:cs="Arial"/>
                <w:sz w:val="22"/>
                <w:szCs w:val="22"/>
              </w:rPr>
              <w:t>-</w:t>
            </w:r>
            <w:r w:rsidRPr="00FB6737">
              <w:rPr>
                <w:rFonts w:ascii="Arial" w:hAnsi="Arial" w:cs="Arial"/>
                <w:sz w:val="22"/>
                <w:szCs w:val="22"/>
              </w:rPr>
              <w:t xml:space="preserve"> Hawkesbury staff have been offered the opportunity to transfer under TUPE. Does this apply to all staff groups, including nursing and occupational therapy, or is it limited to healthcare assistants (HCAs)?</w:t>
            </w:r>
          </w:p>
          <w:p w14:paraId="6A17157A" w14:textId="77777777" w:rsidR="00AA3442" w:rsidRPr="00FB6737" w:rsidRDefault="00AA3442" w:rsidP="00B65E1D">
            <w:pPr>
              <w:rPr>
                <w:rFonts w:ascii="Arial" w:hAnsi="Arial" w:cs="Arial"/>
                <w:sz w:val="22"/>
                <w:szCs w:val="22"/>
              </w:rPr>
            </w:pPr>
          </w:p>
          <w:p w14:paraId="129FEB8C" w14:textId="77777777" w:rsidR="00AA3442" w:rsidRPr="00FB6737" w:rsidRDefault="00AA3442" w:rsidP="00B65E1D">
            <w:pPr>
              <w:rPr>
                <w:rFonts w:ascii="Arial" w:hAnsi="Arial" w:cs="Arial"/>
                <w:b/>
                <w:bCs/>
                <w:sz w:val="22"/>
                <w:szCs w:val="22"/>
              </w:rPr>
            </w:pPr>
            <w:r w:rsidRPr="00FB6737">
              <w:rPr>
                <w:rFonts w:ascii="Arial" w:hAnsi="Arial" w:cs="Arial"/>
                <w:b/>
                <w:bCs/>
                <w:sz w:val="22"/>
                <w:szCs w:val="22"/>
              </w:rPr>
              <w:t>Answer</w:t>
            </w:r>
          </w:p>
          <w:p w14:paraId="3E4D13FB" w14:textId="36705651" w:rsidR="009A1ECA" w:rsidRDefault="009A1ECA" w:rsidP="00E44267">
            <w:pPr>
              <w:rPr>
                <w:rFonts w:ascii="Arial" w:hAnsi="Arial" w:cs="Arial"/>
                <w:color w:val="FF0000"/>
                <w:sz w:val="22"/>
                <w:szCs w:val="22"/>
              </w:rPr>
            </w:pPr>
            <w:r>
              <w:rPr>
                <w:rFonts w:ascii="Arial" w:hAnsi="Arial" w:cs="Arial"/>
                <w:color w:val="FF0000"/>
                <w:sz w:val="22"/>
                <w:szCs w:val="22"/>
              </w:rPr>
              <w:t>Following the second market engagement event (held on 25th November 2025), t</w:t>
            </w:r>
            <w:r w:rsidRPr="009A1ECA">
              <w:rPr>
                <w:rFonts w:ascii="Arial" w:hAnsi="Arial" w:cs="Arial"/>
                <w:color w:val="FF0000"/>
                <w:sz w:val="22"/>
                <w:szCs w:val="22"/>
              </w:rPr>
              <w:t>he Trust sought a legal view on TUPE (Transfer of Undertakings Protection of Employment) Regulations</w:t>
            </w:r>
            <w:r>
              <w:rPr>
                <w:rFonts w:ascii="Arial" w:hAnsi="Arial" w:cs="Arial"/>
                <w:color w:val="FF0000"/>
                <w:sz w:val="22"/>
                <w:szCs w:val="22"/>
              </w:rPr>
              <w:t xml:space="preserve">. That advice was that TUPE is not applicable to this service scenario, </w:t>
            </w:r>
            <w:r w:rsidRPr="009A1ECA">
              <w:rPr>
                <w:rFonts w:ascii="Arial" w:hAnsi="Arial" w:cs="Arial"/>
                <w:color w:val="FF0000"/>
                <w:sz w:val="22"/>
                <w:szCs w:val="22"/>
              </w:rPr>
              <w:t>predominantly due to the significant nature of the service change in moving from an inpatient, rehabilitation service to a registered care setting.</w:t>
            </w:r>
          </w:p>
          <w:p w14:paraId="7DFD8D4E" w14:textId="2DD5E918" w:rsidR="009A1ECA" w:rsidRDefault="009A1ECA" w:rsidP="00E44267">
            <w:pPr>
              <w:rPr>
                <w:rFonts w:ascii="Arial" w:hAnsi="Arial" w:cs="Arial"/>
                <w:color w:val="FF0000"/>
                <w:sz w:val="22"/>
                <w:szCs w:val="22"/>
              </w:rPr>
            </w:pPr>
            <w:r>
              <w:rPr>
                <w:rFonts w:ascii="Arial" w:hAnsi="Arial" w:cs="Arial"/>
                <w:color w:val="FF0000"/>
                <w:sz w:val="22"/>
                <w:szCs w:val="22"/>
              </w:rPr>
              <w:t xml:space="preserve">The Trust is following this advice and therefore existing Hawkesbury staff are not being </w:t>
            </w:r>
            <w:r w:rsidR="00D35CCA">
              <w:rPr>
                <w:rFonts w:ascii="Arial" w:hAnsi="Arial" w:cs="Arial"/>
                <w:color w:val="FF0000"/>
                <w:sz w:val="22"/>
                <w:szCs w:val="22"/>
              </w:rPr>
              <w:t xml:space="preserve">given </w:t>
            </w:r>
            <w:r>
              <w:rPr>
                <w:rFonts w:ascii="Arial" w:hAnsi="Arial" w:cs="Arial"/>
                <w:color w:val="FF0000"/>
                <w:sz w:val="22"/>
                <w:szCs w:val="22"/>
              </w:rPr>
              <w:t>the option to TUPE to the new service and instead are being offered redeployment options elsewhere within the organisation.</w:t>
            </w:r>
          </w:p>
          <w:p w14:paraId="4B8C4BF8" w14:textId="77777777" w:rsidR="000448D1" w:rsidRDefault="000448D1" w:rsidP="00B65E1D">
            <w:pPr>
              <w:rPr>
                <w:rFonts w:ascii="Arial" w:hAnsi="Arial" w:cs="Arial"/>
                <w:sz w:val="22"/>
                <w:szCs w:val="22"/>
              </w:rPr>
            </w:pPr>
          </w:p>
          <w:p w14:paraId="6F426464" w14:textId="77777777" w:rsidR="00AA3442" w:rsidRPr="00FB6737" w:rsidRDefault="00AA3442" w:rsidP="00B65E1D">
            <w:pPr>
              <w:rPr>
                <w:rFonts w:ascii="Arial" w:hAnsi="Arial" w:cs="Arial"/>
                <w:b/>
                <w:bCs/>
                <w:sz w:val="22"/>
                <w:szCs w:val="22"/>
              </w:rPr>
            </w:pPr>
            <w:r w:rsidRPr="00FB6737">
              <w:rPr>
                <w:rFonts w:ascii="Arial" w:hAnsi="Arial" w:cs="Arial"/>
                <w:b/>
                <w:bCs/>
                <w:sz w:val="22"/>
                <w:szCs w:val="22"/>
              </w:rPr>
              <w:t>Question</w:t>
            </w:r>
            <w:r>
              <w:rPr>
                <w:rFonts w:ascii="Arial" w:hAnsi="Arial" w:cs="Arial"/>
                <w:b/>
                <w:bCs/>
                <w:sz w:val="22"/>
                <w:szCs w:val="22"/>
              </w:rPr>
              <w:t xml:space="preserve"> 3</w:t>
            </w:r>
          </w:p>
          <w:p w14:paraId="61123C99" w14:textId="77777777" w:rsidR="00AA3442" w:rsidRDefault="00AA3442" w:rsidP="00B65E1D">
            <w:pPr>
              <w:rPr>
                <w:rFonts w:ascii="Arial" w:hAnsi="Arial" w:cs="Arial"/>
                <w:sz w:val="22"/>
                <w:szCs w:val="22"/>
              </w:rPr>
            </w:pPr>
            <w:r w:rsidRPr="00FB6737">
              <w:rPr>
                <w:rFonts w:ascii="Arial" w:hAnsi="Arial" w:cs="Arial"/>
                <w:b/>
                <w:bCs/>
                <w:sz w:val="22"/>
                <w:szCs w:val="22"/>
              </w:rPr>
              <w:t>Day Services</w:t>
            </w:r>
            <w:r w:rsidRPr="00FB6737">
              <w:rPr>
                <w:rFonts w:ascii="Arial" w:hAnsi="Arial" w:cs="Arial"/>
                <w:sz w:val="22"/>
                <w:szCs w:val="22"/>
              </w:rPr>
              <w:t xml:space="preserve"> </w:t>
            </w:r>
            <w:r>
              <w:rPr>
                <w:rFonts w:ascii="Arial" w:hAnsi="Arial" w:cs="Arial"/>
                <w:sz w:val="22"/>
                <w:szCs w:val="22"/>
              </w:rPr>
              <w:t xml:space="preserve">- </w:t>
            </w:r>
            <w:r w:rsidRPr="00FB6737">
              <w:rPr>
                <w:rFonts w:ascii="Arial" w:hAnsi="Arial" w:cs="Arial"/>
                <w:sz w:val="22"/>
                <w:szCs w:val="22"/>
              </w:rPr>
              <w:t>Will the delivery of day services be taken forward as a joint approach?</w:t>
            </w:r>
          </w:p>
          <w:p w14:paraId="13ABA58F" w14:textId="77777777" w:rsidR="00AA3442" w:rsidRPr="00FB6737" w:rsidRDefault="00AA3442" w:rsidP="00B65E1D">
            <w:pPr>
              <w:rPr>
                <w:rFonts w:ascii="Arial" w:hAnsi="Arial" w:cs="Arial"/>
                <w:sz w:val="22"/>
                <w:szCs w:val="22"/>
              </w:rPr>
            </w:pPr>
          </w:p>
          <w:p w14:paraId="3AFB089C" w14:textId="77777777" w:rsidR="00AA3442" w:rsidRPr="00FB6737" w:rsidRDefault="00AA3442" w:rsidP="00B65E1D">
            <w:pPr>
              <w:rPr>
                <w:rFonts w:ascii="Arial" w:hAnsi="Arial" w:cs="Arial"/>
                <w:b/>
                <w:bCs/>
                <w:sz w:val="22"/>
                <w:szCs w:val="22"/>
              </w:rPr>
            </w:pPr>
            <w:r w:rsidRPr="00FB6737">
              <w:rPr>
                <w:rFonts w:ascii="Arial" w:hAnsi="Arial" w:cs="Arial"/>
                <w:b/>
                <w:bCs/>
                <w:sz w:val="22"/>
                <w:szCs w:val="22"/>
              </w:rPr>
              <w:t>Answer</w:t>
            </w:r>
          </w:p>
          <w:p w14:paraId="4B862236" w14:textId="31D19C29" w:rsidR="00AA3442" w:rsidRPr="000448D1" w:rsidRDefault="00AA3442" w:rsidP="00B65E1D">
            <w:pPr>
              <w:rPr>
                <w:rFonts w:ascii="Arial" w:hAnsi="Arial" w:cs="Arial"/>
                <w:color w:val="FF0000"/>
                <w:sz w:val="22"/>
                <w:szCs w:val="22"/>
              </w:rPr>
            </w:pPr>
            <w:r w:rsidRPr="000448D1">
              <w:rPr>
                <w:rFonts w:ascii="Arial" w:hAnsi="Arial" w:cs="Arial"/>
                <w:color w:val="FF0000"/>
                <w:sz w:val="22"/>
                <w:szCs w:val="22"/>
              </w:rPr>
              <w:t>Yes, that is exactly the intention</w:t>
            </w:r>
            <w:r w:rsidR="00691350">
              <w:rPr>
                <w:rFonts w:ascii="Arial" w:hAnsi="Arial" w:cs="Arial"/>
                <w:color w:val="FF0000"/>
                <w:sz w:val="22"/>
                <w:szCs w:val="22"/>
              </w:rPr>
              <w:t xml:space="preserve">, for it to be </w:t>
            </w:r>
            <w:r w:rsidR="00D35CCA">
              <w:rPr>
                <w:rFonts w:ascii="Arial" w:hAnsi="Arial" w:cs="Arial"/>
                <w:color w:val="FF0000"/>
                <w:sz w:val="22"/>
                <w:szCs w:val="22"/>
              </w:rPr>
              <w:t>an integrated service, delivered in partnership with the Trust’s Community Enablement and Recovery Team (CERT)</w:t>
            </w:r>
            <w:r w:rsidRPr="000448D1">
              <w:rPr>
                <w:rFonts w:ascii="Arial" w:hAnsi="Arial" w:cs="Arial"/>
                <w:color w:val="FF0000"/>
                <w:sz w:val="22"/>
                <w:szCs w:val="22"/>
              </w:rPr>
              <w:t>.</w:t>
            </w:r>
            <w:r w:rsidR="000448D1" w:rsidRPr="000448D1">
              <w:rPr>
                <w:rFonts w:ascii="Arial" w:hAnsi="Arial" w:cs="Arial"/>
                <w:color w:val="FF0000"/>
                <w:sz w:val="22"/>
                <w:szCs w:val="22"/>
              </w:rPr>
              <w:t xml:space="preserve"> </w:t>
            </w:r>
            <w:r w:rsidR="00D35CCA">
              <w:rPr>
                <w:rFonts w:ascii="Arial" w:hAnsi="Arial" w:cs="Arial"/>
                <w:color w:val="FF0000"/>
                <w:sz w:val="22"/>
                <w:szCs w:val="22"/>
              </w:rPr>
              <w:t xml:space="preserve">The details of the partnership working are </w:t>
            </w:r>
            <w:r w:rsidR="00691350">
              <w:rPr>
                <w:rFonts w:ascii="Arial" w:hAnsi="Arial" w:cs="Arial"/>
                <w:color w:val="FF0000"/>
                <w:sz w:val="22"/>
                <w:szCs w:val="22"/>
              </w:rPr>
              <w:t xml:space="preserve">not overly prescribed within the service specification </w:t>
            </w:r>
            <w:r w:rsidR="00D35CCA">
              <w:rPr>
                <w:rFonts w:ascii="Arial" w:hAnsi="Arial" w:cs="Arial"/>
                <w:color w:val="FF0000"/>
                <w:sz w:val="22"/>
                <w:szCs w:val="22"/>
              </w:rPr>
              <w:t xml:space="preserve">as it will partly depend on the provider’s experience in this area. We </w:t>
            </w:r>
            <w:r w:rsidR="008E0A75">
              <w:rPr>
                <w:rFonts w:ascii="Arial" w:hAnsi="Arial" w:cs="Arial"/>
                <w:color w:val="FF0000"/>
                <w:sz w:val="22"/>
                <w:szCs w:val="22"/>
              </w:rPr>
              <w:t xml:space="preserve">envisage that the </w:t>
            </w:r>
            <w:r w:rsidR="00BF0B1D">
              <w:rPr>
                <w:rFonts w:ascii="Arial" w:hAnsi="Arial" w:cs="Arial"/>
                <w:color w:val="FF0000"/>
                <w:sz w:val="22"/>
                <w:szCs w:val="22"/>
              </w:rPr>
              <w:t xml:space="preserve">day service element (which we refer to in the service spec as the </w:t>
            </w:r>
            <w:r w:rsidR="008E0A75">
              <w:rPr>
                <w:rFonts w:ascii="Arial" w:hAnsi="Arial" w:cs="Arial"/>
                <w:color w:val="FF0000"/>
                <w:sz w:val="22"/>
                <w:szCs w:val="22"/>
              </w:rPr>
              <w:t>Care Hub</w:t>
            </w:r>
            <w:r w:rsidR="00BF0B1D">
              <w:rPr>
                <w:rFonts w:ascii="Arial" w:hAnsi="Arial" w:cs="Arial"/>
                <w:color w:val="FF0000"/>
                <w:sz w:val="22"/>
                <w:szCs w:val="22"/>
              </w:rPr>
              <w:t>)</w:t>
            </w:r>
            <w:r w:rsidR="008E0A75">
              <w:rPr>
                <w:rFonts w:ascii="Arial" w:hAnsi="Arial" w:cs="Arial"/>
                <w:color w:val="FF0000"/>
                <w:sz w:val="22"/>
                <w:szCs w:val="22"/>
              </w:rPr>
              <w:t xml:space="preserve"> will take time to evolve</w:t>
            </w:r>
            <w:r w:rsidR="00BF0B1D">
              <w:rPr>
                <w:rFonts w:ascii="Arial" w:hAnsi="Arial" w:cs="Arial"/>
                <w:color w:val="FF0000"/>
                <w:sz w:val="22"/>
                <w:szCs w:val="22"/>
              </w:rPr>
              <w:t>.</w:t>
            </w:r>
            <w:r w:rsidR="008E0A75">
              <w:rPr>
                <w:rFonts w:ascii="Arial" w:hAnsi="Arial" w:cs="Arial"/>
                <w:color w:val="FF0000"/>
                <w:sz w:val="22"/>
                <w:szCs w:val="22"/>
              </w:rPr>
              <w:t xml:space="preserve"> </w:t>
            </w:r>
            <w:r w:rsidR="00BF0B1D">
              <w:rPr>
                <w:rFonts w:ascii="Arial" w:hAnsi="Arial" w:cs="Arial"/>
                <w:color w:val="FF0000"/>
                <w:sz w:val="22"/>
                <w:szCs w:val="22"/>
              </w:rPr>
              <w:t xml:space="preserve">But we </w:t>
            </w:r>
            <w:r w:rsidR="00D35CCA">
              <w:rPr>
                <w:rFonts w:ascii="Arial" w:hAnsi="Arial" w:cs="Arial"/>
                <w:color w:val="FF0000"/>
                <w:sz w:val="22"/>
                <w:szCs w:val="22"/>
              </w:rPr>
              <w:t xml:space="preserve">also want to allow the provider scope to </w:t>
            </w:r>
            <w:r w:rsidR="00660570">
              <w:rPr>
                <w:rFonts w:ascii="Arial" w:hAnsi="Arial" w:cs="Arial"/>
                <w:color w:val="FF0000"/>
                <w:sz w:val="22"/>
                <w:szCs w:val="22"/>
              </w:rPr>
              <w:t xml:space="preserve">help shape the joint working arrangements, </w:t>
            </w:r>
            <w:r w:rsidR="008E0A75">
              <w:rPr>
                <w:rFonts w:ascii="Arial" w:hAnsi="Arial" w:cs="Arial"/>
                <w:color w:val="FF0000"/>
                <w:sz w:val="22"/>
                <w:szCs w:val="22"/>
              </w:rPr>
              <w:t xml:space="preserve">within the first 12 months of service delivery. </w:t>
            </w:r>
          </w:p>
          <w:p w14:paraId="73DB4DC7" w14:textId="77777777" w:rsidR="00AA3442" w:rsidRDefault="00AA3442" w:rsidP="00B65E1D">
            <w:pPr>
              <w:rPr>
                <w:rFonts w:ascii="Arial" w:hAnsi="Arial" w:cs="Arial"/>
                <w:sz w:val="22"/>
                <w:szCs w:val="22"/>
              </w:rPr>
            </w:pPr>
          </w:p>
          <w:p w14:paraId="3F43B52B" w14:textId="77777777" w:rsidR="00AA3442" w:rsidRPr="00841E19" w:rsidRDefault="00AA3442" w:rsidP="00B65E1D">
            <w:pPr>
              <w:rPr>
                <w:rFonts w:ascii="Arial" w:hAnsi="Arial" w:cs="Arial"/>
                <w:b/>
                <w:bCs/>
                <w:sz w:val="22"/>
                <w:szCs w:val="22"/>
              </w:rPr>
            </w:pPr>
            <w:r w:rsidRPr="00841E19">
              <w:rPr>
                <w:rFonts w:ascii="Arial" w:hAnsi="Arial" w:cs="Arial"/>
                <w:b/>
                <w:bCs/>
                <w:sz w:val="22"/>
                <w:szCs w:val="22"/>
              </w:rPr>
              <w:t>Question 4</w:t>
            </w:r>
          </w:p>
          <w:p w14:paraId="2389FF6D" w14:textId="77777777" w:rsidR="00AA3442" w:rsidRDefault="00AA3442" w:rsidP="00B65E1D">
            <w:pPr>
              <w:rPr>
                <w:rFonts w:ascii="Arial" w:hAnsi="Arial" w:cs="Arial"/>
                <w:sz w:val="22"/>
                <w:szCs w:val="22"/>
              </w:rPr>
            </w:pPr>
            <w:r w:rsidRPr="00841E19">
              <w:rPr>
                <w:rFonts w:ascii="Arial" w:hAnsi="Arial" w:cs="Arial"/>
                <w:b/>
                <w:bCs/>
                <w:sz w:val="22"/>
                <w:szCs w:val="22"/>
              </w:rPr>
              <w:t>Registration</w:t>
            </w:r>
            <w:r>
              <w:rPr>
                <w:rFonts w:ascii="Arial" w:hAnsi="Arial" w:cs="Arial"/>
                <w:sz w:val="22"/>
                <w:szCs w:val="22"/>
              </w:rPr>
              <w:t xml:space="preserve"> - Is there a current registered manager in the service? </w:t>
            </w:r>
          </w:p>
          <w:p w14:paraId="0018B30C" w14:textId="77777777" w:rsidR="00AA3442" w:rsidRPr="000938B9" w:rsidRDefault="00AA3442" w:rsidP="00B65E1D">
            <w:pPr>
              <w:rPr>
                <w:rFonts w:ascii="Arial" w:hAnsi="Arial" w:cs="Arial"/>
                <w:sz w:val="22"/>
                <w:szCs w:val="22"/>
              </w:rPr>
            </w:pPr>
          </w:p>
          <w:p w14:paraId="4E997A8C" w14:textId="77777777" w:rsidR="00AA3442" w:rsidRPr="000938B9" w:rsidRDefault="00AA3442" w:rsidP="00B65E1D">
            <w:pPr>
              <w:rPr>
                <w:rFonts w:ascii="Arial" w:hAnsi="Arial" w:cs="Arial"/>
                <w:b/>
                <w:bCs/>
                <w:sz w:val="22"/>
                <w:szCs w:val="22"/>
              </w:rPr>
            </w:pPr>
            <w:r>
              <w:rPr>
                <w:rFonts w:ascii="Arial" w:hAnsi="Arial" w:cs="Arial"/>
                <w:b/>
                <w:bCs/>
                <w:sz w:val="22"/>
                <w:szCs w:val="22"/>
              </w:rPr>
              <w:t>Answer</w:t>
            </w:r>
          </w:p>
          <w:p w14:paraId="70FF269F" w14:textId="615BF728" w:rsidR="00AA3442" w:rsidRDefault="00AA3442" w:rsidP="00B65E1D">
            <w:pPr>
              <w:rPr>
                <w:rFonts w:ascii="Arial" w:hAnsi="Arial" w:cs="Arial"/>
                <w:sz w:val="22"/>
                <w:szCs w:val="22"/>
              </w:rPr>
            </w:pPr>
            <w:r w:rsidRPr="00760D1B">
              <w:rPr>
                <w:rFonts w:ascii="Arial" w:hAnsi="Arial" w:cs="Arial"/>
                <w:color w:val="FF0000"/>
                <w:sz w:val="22"/>
                <w:szCs w:val="22"/>
              </w:rPr>
              <w:t>There is currently no registered manager in the service</w:t>
            </w:r>
            <w:r w:rsidR="00660570">
              <w:rPr>
                <w:rFonts w:ascii="Arial" w:hAnsi="Arial" w:cs="Arial"/>
                <w:color w:val="FF0000"/>
                <w:sz w:val="22"/>
                <w:szCs w:val="22"/>
              </w:rPr>
              <w:t>. This will be a core responsibility of the chosen provider.</w:t>
            </w:r>
            <w:r w:rsidRPr="000938B9">
              <w:rPr>
                <w:rFonts w:ascii="Arial" w:hAnsi="Arial" w:cs="Arial"/>
                <w:sz w:val="22"/>
                <w:szCs w:val="22"/>
              </w:rPr>
              <w:t xml:space="preserve"> </w:t>
            </w:r>
          </w:p>
          <w:p w14:paraId="0779A078" w14:textId="77777777" w:rsidR="00AA3442" w:rsidRDefault="00AA3442" w:rsidP="00B65E1D">
            <w:pPr>
              <w:rPr>
                <w:rFonts w:ascii="Arial" w:hAnsi="Arial" w:cs="Arial"/>
                <w:sz w:val="22"/>
                <w:szCs w:val="22"/>
              </w:rPr>
            </w:pPr>
          </w:p>
          <w:p w14:paraId="600DD510" w14:textId="26A67646" w:rsidR="00AA3442" w:rsidRPr="00841E19" w:rsidRDefault="007A6560" w:rsidP="00B65E1D">
            <w:pPr>
              <w:rPr>
                <w:rFonts w:ascii="Arial" w:hAnsi="Arial" w:cs="Arial"/>
                <w:b/>
                <w:bCs/>
                <w:sz w:val="22"/>
                <w:szCs w:val="22"/>
              </w:rPr>
            </w:pPr>
            <w:r>
              <w:rPr>
                <w:rFonts w:ascii="Arial" w:hAnsi="Arial" w:cs="Arial"/>
                <w:b/>
                <w:bCs/>
                <w:sz w:val="22"/>
                <w:szCs w:val="22"/>
              </w:rPr>
              <w:t xml:space="preserve">Additional </w:t>
            </w:r>
            <w:r w:rsidR="00AA3442" w:rsidRPr="00841E19">
              <w:rPr>
                <w:rFonts w:ascii="Arial" w:hAnsi="Arial" w:cs="Arial"/>
                <w:b/>
                <w:bCs/>
                <w:sz w:val="22"/>
                <w:szCs w:val="22"/>
              </w:rPr>
              <w:t>Comment</w:t>
            </w:r>
            <w:r w:rsidR="000448D1">
              <w:rPr>
                <w:rFonts w:ascii="Arial" w:hAnsi="Arial" w:cs="Arial"/>
                <w:b/>
                <w:bCs/>
                <w:sz w:val="22"/>
                <w:szCs w:val="22"/>
              </w:rPr>
              <w:t>s</w:t>
            </w:r>
          </w:p>
          <w:p w14:paraId="0DB3ACDE" w14:textId="14E1EF3D" w:rsidR="00AA3442" w:rsidRDefault="00AA3442" w:rsidP="00B65E1D">
            <w:pPr>
              <w:rPr>
                <w:rFonts w:ascii="Arial" w:hAnsi="Arial" w:cs="Arial"/>
                <w:sz w:val="22"/>
                <w:szCs w:val="22"/>
              </w:rPr>
            </w:pPr>
            <w:r w:rsidRPr="000938B9">
              <w:rPr>
                <w:rFonts w:ascii="Arial" w:hAnsi="Arial" w:cs="Arial"/>
                <w:sz w:val="22"/>
                <w:szCs w:val="22"/>
              </w:rPr>
              <w:t>A provider would need to recruit</w:t>
            </w:r>
            <w:r w:rsidR="00660570">
              <w:rPr>
                <w:rFonts w:ascii="Arial" w:hAnsi="Arial" w:cs="Arial"/>
                <w:sz w:val="22"/>
                <w:szCs w:val="22"/>
              </w:rPr>
              <w:t xml:space="preserve"> one</w:t>
            </w:r>
            <w:r w:rsidRPr="000938B9">
              <w:rPr>
                <w:rFonts w:ascii="Arial" w:hAnsi="Arial" w:cs="Arial"/>
                <w:sz w:val="22"/>
                <w:szCs w:val="22"/>
              </w:rPr>
              <w:t>, but the mobilisation period is short and registering a new manager with the CQC can often take several months. This represents a risk.</w:t>
            </w:r>
          </w:p>
          <w:p w14:paraId="416DA6D8" w14:textId="77777777" w:rsidR="000448D1" w:rsidRDefault="000448D1" w:rsidP="00B65E1D">
            <w:pPr>
              <w:rPr>
                <w:rFonts w:ascii="Arial" w:hAnsi="Arial" w:cs="Arial"/>
                <w:sz w:val="22"/>
                <w:szCs w:val="22"/>
              </w:rPr>
            </w:pPr>
          </w:p>
          <w:p w14:paraId="2840ED5D" w14:textId="1386C6DA" w:rsidR="00AA3442" w:rsidRDefault="00AA3442" w:rsidP="00B65E1D">
            <w:pPr>
              <w:rPr>
                <w:rFonts w:ascii="Arial" w:hAnsi="Arial" w:cs="Arial"/>
                <w:sz w:val="22"/>
                <w:szCs w:val="22"/>
              </w:rPr>
            </w:pPr>
            <w:r>
              <w:rPr>
                <w:rFonts w:ascii="Arial" w:hAnsi="Arial" w:cs="Arial"/>
                <w:sz w:val="22"/>
                <w:szCs w:val="22"/>
              </w:rPr>
              <w:t>At</w:t>
            </w:r>
            <w:r w:rsidRPr="00F1319D">
              <w:rPr>
                <w:rFonts w:ascii="Arial" w:hAnsi="Arial" w:cs="Arial"/>
                <w:sz w:val="22"/>
                <w:szCs w:val="22"/>
              </w:rPr>
              <w:t xml:space="preserve"> best </w:t>
            </w:r>
            <w:r w:rsidR="00984563">
              <w:rPr>
                <w:rFonts w:ascii="Arial" w:hAnsi="Arial" w:cs="Arial"/>
                <w:sz w:val="22"/>
                <w:szCs w:val="22"/>
              </w:rPr>
              <w:t xml:space="preserve">CQC </w:t>
            </w:r>
            <w:r w:rsidRPr="00F1319D">
              <w:rPr>
                <w:rFonts w:ascii="Arial" w:hAnsi="Arial" w:cs="Arial"/>
                <w:sz w:val="22"/>
                <w:szCs w:val="22"/>
              </w:rPr>
              <w:t>registration is 10-12</w:t>
            </w:r>
            <w:r>
              <w:rPr>
                <w:rFonts w:ascii="Arial" w:hAnsi="Arial" w:cs="Arial"/>
                <w:sz w:val="22"/>
                <w:szCs w:val="22"/>
              </w:rPr>
              <w:t xml:space="preserve"> </w:t>
            </w:r>
            <w:r w:rsidRPr="00F1319D">
              <w:rPr>
                <w:rFonts w:ascii="Arial" w:hAnsi="Arial" w:cs="Arial"/>
                <w:sz w:val="22"/>
                <w:szCs w:val="22"/>
              </w:rPr>
              <w:t>weeks</w:t>
            </w:r>
            <w:r>
              <w:rPr>
                <w:rFonts w:ascii="Arial" w:hAnsi="Arial" w:cs="Arial"/>
                <w:sz w:val="22"/>
                <w:szCs w:val="22"/>
              </w:rPr>
              <w:t xml:space="preserve"> currently</w:t>
            </w:r>
            <w:r w:rsidRPr="00F1319D">
              <w:rPr>
                <w:rFonts w:ascii="Arial" w:hAnsi="Arial" w:cs="Arial"/>
                <w:sz w:val="22"/>
                <w:szCs w:val="22"/>
              </w:rPr>
              <w:t xml:space="preserve"> but a lot longer at present in some cases</w:t>
            </w:r>
            <w:r>
              <w:rPr>
                <w:rFonts w:ascii="Arial" w:hAnsi="Arial" w:cs="Arial"/>
                <w:sz w:val="22"/>
                <w:szCs w:val="22"/>
              </w:rPr>
              <w:t>.</w:t>
            </w:r>
          </w:p>
          <w:p w14:paraId="16E8B4E9" w14:textId="1921A508" w:rsidR="000448D1" w:rsidRPr="000448D1" w:rsidRDefault="000448D1" w:rsidP="000448D1">
            <w:pPr>
              <w:rPr>
                <w:rFonts w:ascii="Arial" w:hAnsi="Arial" w:cs="Arial"/>
                <w:color w:val="FF0000"/>
                <w:sz w:val="22"/>
                <w:szCs w:val="22"/>
              </w:rPr>
            </w:pPr>
            <w:r w:rsidRPr="000448D1">
              <w:rPr>
                <w:rFonts w:ascii="Arial" w:hAnsi="Arial" w:cs="Arial"/>
                <w:color w:val="FF0000"/>
                <w:sz w:val="22"/>
                <w:szCs w:val="22"/>
              </w:rPr>
              <w:lastRenderedPageBreak/>
              <w:t>The Trust is seeking advice from the CQC regarding the registration and timeframes</w:t>
            </w:r>
            <w:r w:rsidR="00B2096F">
              <w:rPr>
                <w:rFonts w:ascii="Arial" w:hAnsi="Arial" w:cs="Arial"/>
                <w:color w:val="FF0000"/>
                <w:sz w:val="22"/>
                <w:szCs w:val="22"/>
              </w:rPr>
              <w:t>, t</w:t>
            </w:r>
            <w:r w:rsidR="00660570">
              <w:rPr>
                <w:rFonts w:ascii="Arial" w:hAnsi="Arial" w:cs="Arial"/>
                <w:color w:val="FF0000"/>
                <w:sz w:val="22"/>
                <w:szCs w:val="22"/>
              </w:rPr>
              <w:t xml:space="preserve">o </w:t>
            </w:r>
            <w:r w:rsidR="00B2096F">
              <w:rPr>
                <w:rFonts w:ascii="Arial" w:hAnsi="Arial" w:cs="Arial"/>
                <w:color w:val="FF0000"/>
                <w:sz w:val="22"/>
                <w:szCs w:val="22"/>
              </w:rPr>
              <w:t xml:space="preserve">do what we can to </w:t>
            </w:r>
            <w:r w:rsidR="00660570">
              <w:rPr>
                <w:rFonts w:ascii="Arial" w:hAnsi="Arial" w:cs="Arial"/>
                <w:color w:val="FF0000"/>
                <w:sz w:val="22"/>
                <w:szCs w:val="22"/>
              </w:rPr>
              <w:t>expedite the process</w:t>
            </w:r>
            <w:r w:rsidRPr="000448D1">
              <w:rPr>
                <w:rFonts w:ascii="Arial" w:hAnsi="Arial" w:cs="Arial"/>
                <w:color w:val="FF0000"/>
                <w:sz w:val="22"/>
                <w:szCs w:val="22"/>
              </w:rPr>
              <w:t>.</w:t>
            </w:r>
            <w:r w:rsidR="00660570">
              <w:rPr>
                <w:rFonts w:ascii="Arial" w:hAnsi="Arial" w:cs="Arial"/>
                <w:color w:val="FF0000"/>
                <w:sz w:val="22"/>
                <w:szCs w:val="22"/>
              </w:rPr>
              <w:t xml:space="preserve"> </w:t>
            </w:r>
            <w:r w:rsidR="00B2096F">
              <w:rPr>
                <w:rFonts w:ascii="Arial" w:hAnsi="Arial" w:cs="Arial"/>
                <w:color w:val="FF0000"/>
                <w:sz w:val="22"/>
                <w:szCs w:val="22"/>
              </w:rPr>
              <w:t xml:space="preserve">We have also extended the </w:t>
            </w:r>
            <w:r w:rsidRPr="000448D1">
              <w:rPr>
                <w:rFonts w:ascii="Arial" w:hAnsi="Arial" w:cs="Arial"/>
                <w:color w:val="FF0000"/>
                <w:sz w:val="22"/>
                <w:szCs w:val="22"/>
              </w:rPr>
              <w:t>mobilisation period</w:t>
            </w:r>
            <w:r w:rsidR="00660570">
              <w:rPr>
                <w:rFonts w:ascii="Arial" w:hAnsi="Arial" w:cs="Arial"/>
                <w:color w:val="FF0000"/>
                <w:sz w:val="22"/>
                <w:szCs w:val="22"/>
              </w:rPr>
              <w:t xml:space="preserve">, </w:t>
            </w:r>
            <w:r w:rsidR="00B2096F">
              <w:rPr>
                <w:rFonts w:ascii="Arial" w:hAnsi="Arial" w:cs="Arial"/>
                <w:color w:val="FF0000"/>
                <w:sz w:val="22"/>
                <w:szCs w:val="22"/>
              </w:rPr>
              <w:t xml:space="preserve">from what was shown during market engagement, </w:t>
            </w:r>
            <w:r w:rsidR="00660570">
              <w:rPr>
                <w:rFonts w:ascii="Arial" w:hAnsi="Arial" w:cs="Arial"/>
                <w:color w:val="FF0000"/>
                <w:sz w:val="22"/>
                <w:szCs w:val="22"/>
              </w:rPr>
              <w:t>as detailed in the procurement timetable.</w:t>
            </w:r>
          </w:p>
          <w:p w14:paraId="435E622A" w14:textId="77777777" w:rsidR="000448D1" w:rsidRDefault="000448D1" w:rsidP="00B65E1D">
            <w:pPr>
              <w:rPr>
                <w:rFonts w:ascii="Arial" w:hAnsi="Arial" w:cs="Arial"/>
                <w:sz w:val="22"/>
                <w:szCs w:val="22"/>
              </w:rPr>
            </w:pPr>
          </w:p>
          <w:p w14:paraId="45BAFE92" w14:textId="77777777" w:rsidR="00AA3442" w:rsidRPr="00841E19" w:rsidRDefault="00AA3442" w:rsidP="00B65E1D">
            <w:pPr>
              <w:rPr>
                <w:rFonts w:ascii="Arial" w:hAnsi="Arial" w:cs="Arial"/>
                <w:b/>
                <w:bCs/>
                <w:sz w:val="22"/>
                <w:szCs w:val="22"/>
              </w:rPr>
            </w:pPr>
            <w:r w:rsidRPr="00841E19">
              <w:rPr>
                <w:rFonts w:ascii="Arial" w:hAnsi="Arial" w:cs="Arial"/>
                <w:b/>
                <w:bCs/>
                <w:sz w:val="22"/>
                <w:szCs w:val="22"/>
              </w:rPr>
              <w:t xml:space="preserve">Question 5  </w:t>
            </w:r>
          </w:p>
          <w:p w14:paraId="31C50680" w14:textId="77777777" w:rsidR="00AA3442" w:rsidRDefault="00AA3442" w:rsidP="00B65E1D">
            <w:pPr>
              <w:rPr>
                <w:rFonts w:ascii="Arial" w:hAnsi="Arial" w:cs="Arial"/>
                <w:sz w:val="22"/>
                <w:szCs w:val="22"/>
              </w:rPr>
            </w:pPr>
            <w:r w:rsidRPr="00841E19">
              <w:rPr>
                <w:rFonts w:ascii="Arial" w:hAnsi="Arial" w:cs="Arial"/>
                <w:b/>
                <w:bCs/>
                <w:sz w:val="22"/>
                <w:szCs w:val="22"/>
              </w:rPr>
              <w:t>Who can bid?</w:t>
            </w:r>
            <w:r>
              <w:rPr>
                <w:rFonts w:ascii="Arial" w:hAnsi="Arial" w:cs="Arial"/>
                <w:sz w:val="22"/>
                <w:szCs w:val="22"/>
              </w:rPr>
              <w:t xml:space="preserve"> - </w:t>
            </w:r>
            <w:r w:rsidRPr="00841E19">
              <w:rPr>
                <w:rFonts w:ascii="Arial" w:hAnsi="Arial" w:cs="Arial"/>
                <w:sz w:val="22"/>
                <w:szCs w:val="22"/>
              </w:rPr>
              <w:t xml:space="preserve">Would you only </w:t>
            </w:r>
            <w:r>
              <w:rPr>
                <w:rFonts w:ascii="Arial" w:hAnsi="Arial" w:cs="Arial"/>
                <w:sz w:val="22"/>
                <w:szCs w:val="22"/>
              </w:rPr>
              <w:t>consider</w:t>
            </w:r>
            <w:r w:rsidRPr="00841E19">
              <w:rPr>
                <w:rFonts w:ascii="Arial" w:hAnsi="Arial" w:cs="Arial"/>
                <w:sz w:val="22"/>
                <w:szCs w:val="22"/>
              </w:rPr>
              <w:t xml:space="preserve"> VCSE's taking over this service or will all types of providers be welcome to bid? </w:t>
            </w:r>
          </w:p>
          <w:p w14:paraId="6E971FB5" w14:textId="77777777" w:rsidR="00AA3442" w:rsidRDefault="00AA3442" w:rsidP="00B65E1D">
            <w:pPr>
              <w:rPr>
                <w:rFonts w:ascii="Arial" w:hAnsi="Arial" w:cs="Arial"/>
                <w:sz w:val="22"/>
                <w:szCs w:val="22"/>
              </w:rPr>
            </w:pPr>
          </w:p>
          <w:p w14:paraId="36A86056" w14:textId="77777777" w:rsidR="00AA3442" w:rsidRPr="00841E19" w:rsidRDefault="00AA3442" w:rsidP="00B65E1D">
            <w:pPr>
              <w:rPr>
                <w:rFonts w:ascii="Arial" w:hAnsi="Arial" w:cs="Arial"/>
                <w:b/>
                <w:bCs/>
                <w:sz w:val="22"/>
                <w:szCs w:val="22"/>
              </w:rPr>
            </w:pPr>
            <w:r w:rsidRPr="00841E19">
              <w:rPr>
                <w:rFonts w:ascii="Arial" w:hAnsi="Arial" w:cs="Arial"/>
                <w:b/>
                <w:bCs/>
                <w:sz w:val="22"/>
                <w:szCs w:val="22"/>
              </w:rPr>
              <w:t>Answer</w:t>
            </w:r>
          </w:p>
          <w:p w14:paraId="74848733" w14:textId="38593375" w:rsidR="00AA3442" w:rsidRPr="000448D1" w:rsidRDefault="00984563" w:rsidP="00B65E1D">
            <w:pPr>
              <w:rPr>
                <w:rFonts w:ascii="Arial" w:hAnsi="Arial" w:cs="Arial"/>
                <w:color w:val="FF0000"/>
                <w:sz w:val="22"/>
                <w:szCs w:val="22"/>
              </w:rPr>
            </w:pPr>
            <w:r w:rsidRPr="000448D1">
              <w:rPr>
                <w:rFonts w:ascii="Arial" w:hAnsi="Arial" w:cs="Arial"/>
                <w:color w:val="FF0000"/>
                <w:sz w:val="22"/>
                <w:szCs w:val="22"/>
              </w:rPr>
              <w:t xml:space="preserve">The Trust will consider all </w:t>
            </w:r>
            <w:r w:rsidR="00AA3442" w:rsidRPr="000448D1">
              <w:rPr>
                <w:rFonts w:ascii="Arial" w:hAnsi="Arial" w:cs="Arial"/>
                <w:color w:val="FF0000"/>
                <w:sz w:val="22"/>
                <w:szCs w:val="22"/>
              </w:rPr>
              <w:t xml:space="preserve">non-NHS partners who may be interested in bidding.  </w:t>
            </w:r>
          </w:p>
          <w:p w14:paraId="1B43A611" w14:textId="77777777" w:rsidR="00AA3442" w:rsidRDefault="00AA3442" w:rsidP="00B65E1D">
            <w:pPr>
              <w:rPr>
                <w:rFonts w:ascii="Arial" w:hAnsi="Arial" w:cs="Arial"/>
                <w:sz w:val="22"/>
                <w:szCs w:val="22"/>
              </w:rPr>
            </w:pPr>
          </w:p>
          <w:p w14:paraId="0D469B71" w14:textId="77777777" w:rsidR="00AA3442" w:rsidRPr="0073082E" w:rsidRDefault="00AA3442" w:rsidP="00B65E1D">
            <w:pPr>
              <w:rPr>
                <w:rFonts w:ascii="Arial" w:hAnsi="Arial" w:cs="Arial"/>
                <w:b/>
                <w:bCs/>
                <w:sz w:val="22"/>
                <w:szCs w:val="22"/>
              </w:rPr>
            </w:pPr>
            <w:r w:rsidRPr="0073082E">
              <w:rPr>
                <w:rFonts w:ascii="Arial" w:hAnsi="Arial" w:cs="Arial"/>
                <w:b/>
                <w:bCs/>
                <w:sz w:val="22"/>
                <w:szCs w:val="22"/>
              </w:rPr>
              <w:t>Question 6</w:t>
            </w:r>
          </w:p>
          <w:p w14:paraId="68C5F98B" w14:textId="1CC18DC2" w:rsidR="00AA3442" w:rsidRDefault="00AA3442" w:rsidP="00B65E1D">
            <w:pPr>
              <w:rPr>
                <w:rFonts w:ascii="Arial" w:hAnsi="Arial" w:cs="Arial"/>
                <w:sz w:val="22"/>
                <w:szCs w:val="22"/>
              </w:rPr>
            </w:pPr>
            <w:r w:rsidRPr="0073082E">
              <w:rPr>
                <w:rFonts w:ascii="Arial" w:hAnsi="Arial" w:cs="Arial"/>
                <w:sz w:val="22"/>
                <w:szCs w:val="22"/>
              </w:rPr>
              <w:t>Will access to Day provision be time limited as aware that residents would be up to 18 months, wouldn't see it as beneficial for open</w:t>
            </w:r>
            <w:r w:rsidR="00984563">
              <w:rPr>
                <w:rFonts w:ascii="Arial" w:hAnsi="Arial" w:cs="Arial"/>
                <w:sz w:val="22"/>
                <w:szCs w:val="22"/>
              </w:rPr>
              <w:t>-</w:t>
            </w:r>
            <w:r w:rsidRPr="0073082E">
              <w:rPr>
                <w:rFonts w:ascii="Arial" w:hAnsi="Arial" w:cs="Arial"/>
                <w:sz w:val="22"/>
                <w:szCs w:val="22"/>
              </w:rPr>
              <w:t>ended engagement.</w:t>
            </w:r>
          </w:p>
          <w:p w14:paraId="0E032BE1" w14:textId="77777777" w:rsidR="00AA3442" w:rsidRDefault="00AA3442" w:rsidP="00B65E1D">
            <w:pPr>
              <w:rPr>
                <w:rFonts w:ascii="Arial" w:hAnsi="Arial" w:cs="Arial"/>
                <w:sz w:val="22"/>
                <w:szCs w:val="22"/>
              </w:rPr>
            </w:pPr>
          </w:p>
          <w:p w14:paraId="2AB71D2C" w14:textId="77777777" w:rsidR="00AA3442" w:rsidRPr="0073082E" w:rsidRDefault="00AA3442" w:rsidP="00B65E1D">
            <w:pPr>
              <w:rPr>
                <w:rFonts w:ascii="Arial" w:hAnsi="Arial" w:cs="Arial"/>
                <w:b/>
                <w:bCs/>
                <w:sz w:val="22"/>
                <w:szCs w:val="22"/>
              </w:rPr>
            </w:pPr>
            <w:r w:rsidRPr="0073082E">
              <w:rPr>
                <w:rFonts w:ascii="Arial" w:hAnsi="Arial" w:cs="Arial"/>
                <w:b/>
                <w:bCs/>
                <w:sz w:val="22"/>
                <w:szCs w:val="22"/>
              </w:rPr>
              <w:t>Answer</w:t>
            </w:r>
          </w:p>
          <w:p w14:paraId="4DE6F0EF" w14:textId="77777777" w:rsidR="00AA3442" w:rsidRPr="000448D1" w:rsidRDefault="00AA3442" w:rsidP="00B65E1D">
            <w:pPr>
              <w:rPr>
                <w:rFonts w:ascii="Arial" w:hAnsi="Arial" w:cs="Arial"/>
                <w:color w:val="FF0000"/>
                <w:sz w:val="22"/>
                <w:szCs w:val="22"/>
              </w:rPr>
            </w:pPr>
            <w:r w:rsidRPr="000448D1">
              <w:rPr>
                <w:rFonts w:ascii="Arial" w:hAnsi="Arial" w:cs="Arial"/>
                <w:color w:val="FF0000"/>
                <w:sz w:val="22"/>
                <w:szCs w:val="22"/>
              </w:rPr>
              <w:t>Yes, this will be time limited.</w:t>
            </w:r>
          </w:p>
          <w:p w14:paraId="2FB5D366" w14:textId="77777777" w:rsidR="00AA3442" w:rsidRDefault="00AA3442" w:rsidP="00B65E1D">
            <w:pPr>
              <w:rPr>
                <w:rFonts w:ascii="Arial" w:hAnsi="Arial" w:cs="Arial"/>
                <w:sz w:val="22"/>
                <w:szCs w:val="22"/>
              </w:rPr>
            </w:pPr>
          </w:p>
          <w:p w14:paraId="6D7BA9F9" w14:textId="77777777" w:rsidR="00AA3442" w:rsidRPr="0073082E" w:rsidRDefault="00AA3442" w:rsidP="00B65E1D">
            <w:pPr>
              <w:rPr>
                <w:rFonts w:ascii="Arial" w:hAnsi="Arial" w:cs="Arial"/>
                <w:b/>
                <w:bCs/>
                <w:sz w:val="22"/>
                <w:szCs w:val="22"/>
              </w:rPr>
            </w:pPr>
            <w:r w:rsidRPr="0073082E">
              <w:rPr>
                <w:rFonts w:ascii="Arial" w:hAnsi="Arial" w:cs="Arial"/>
                <w:b/>
                <w:bCs/>
                <w:sz w:val="22"/>
                <w:szCs w:val="22"/>
              </w:rPr>
              <w:t xml:space="preserve">Question 7 </w:t>
            </w:r>
          </w:p>
          <w:p w14:paraId="3C349EF5" w14:textId="77777777" w:rsidR="00AA3442" w:rsidRDefault="00AA3442" w:rsidP="00B65E1D">
            <w:pPr>
              <w:rPr>
                <w:rFonts w:ascii="Arial" w:hAnsi="Arial" w:cs="Arial"/>
                <w:sz w:val="22"/>
                <w:szCs w:val="22"/>
              </w:rPr>
            </w:pPr>
            <w:r w:rsidRPr="0073082E">
              <w:rPr>
                <w:rFonts w:ascii="Arial" w:hAnsi="Arial" w:cs="Arial"/>
                <w:b/>
                <w:bCs/>
                <w:sz w:val="22"/>
                <w:szCs w:val="22"/>
              </w:rPr>
              <w:t>Current roles</w:t>
            </w:r>
            <w:r>
              <w:rPr>
                <w:rFonts w:ascii="Arial" w:hAnsi="Arial" w:cs="Arial"/>
                <w:sz w:val="22"/>
                <w:szCs w:val="22"/>
              </w:rPr>
              <w:t xml:space="preserve"> – </w:t>
            </w:r>
            <w:r w:rsidRPr="00F1319D">
              <w:rPr>
                <w:rFonts w:ascii="Arial" w:hAnsi="Arial" w:cs="Arial"/>
                <w:sz w:val="22"/>
                <w:szCs w:val="22"/>
              </w:rPr>
              <w:t>Would</w:t>
            </w:r>
            <w:r>
              <w:rPr>
                <w:rFonts w:ascii="Arial" w:hAnsi="Arial" w:cs="Arial"/>
                <w:sz w:val="22"/>
                <w:szCs w:val="22"/>
              </w:rPr>
              <w:t xml:space="preserve"> it be possible</w:t>
            </w:r>
            <w:r w:rsidRPr="00F1319D">
              <w:rPr>
                <w:rFonts w:ascii="Arial" w:hAnsi="Arial" w:cs="Arial"/>
                <w:sz w:val="22"/>
                <w:szCs w:val="22"/>
              </w:rPr>
              <w:t xml:space="preserve"> to </w:t>
            </w:r>
            <w:r>
              <w:rPr>
                <w:rFonts w:ascii="Arial" w:hAnsi="Arial" w:cs="Arial"/>
                <w:sz w:val="22"/>
                <w:szCs w:val="22"/>
              </w:rPr>
              <w:t xml:space="preserve">have a </w:t>
            </w:r>
            <w:r w:rsidRPr="00F1319D">
              <w:rPr>
                <w:rFonts w:ascii="Arial" w:hAnsi="Arial" w:cs="Arial"/>
                <w:sz w:val="22"/>
                <w:szCs w:val="22"/>
              </w:rPr>
              <w:t>list of all job roles that currently work with</w:t>
            </w:r>
            <w:r>
              <w:rPr>
                <w:rFonts w:ascii="Arial" w:hAnsi="Arial" w:cs="Arial"/>
                <w:sz w:val="22"/>
                <w:szCs w:val="22"/>
              </w:rPr>
              <w:t>in the</w:t>
            </w:r>
            <w:r w:rsidRPr="00F1319D">
              <w:rPr>
                <w:rFonts w:ascii="Arial" w:hAnsi="Arial" w:cs="Arial"/>
                <w:sz w:val="22"/>
                <w:szCs w:val="22"/>
              </w:rPr>
              <w:t xml:space="preserve"> MDT or </w:t>
            </w:r>
            <w:r>
              <w:rPr>
                <w:rFonts w:ascii="Arial" w:hAnsi="Arial" w:cs="Arial"/>
                <w:sz w:val="22"/>
                <w:szCs w:val="22"/>
              </w:rPr>
              <w:t>o</w:t>
            </w:r>
            <w:r w:rsidRPr="00F1319D">
              <w:rPr>
                <w:rFonts w:ascii="Arial" w:hAnsi="Arial" w:cs="Arial"/>
                <w:sz w:val="22"/>
                <w:szCs w:val="22"/>
              </w:rPr>
              <w:t>n that budget code</w:t>
            </w:r>
            <w:r>
              <w:rPr>
                <w:rFonts w:ascii="Arial" w:hAnsi="Arial" w:cs="Arial"/>
                <w:sz w:val="22"/>
                <w:szCs w:val="22"/>
              </w:rPr>
              <w:t xml:space="preserve">? </w:t>
            </w:r>
          </w:p>
          <w:p w14:paraId="49C2ED40" w14:textId="77777777" w:rsidR="00AA3442" w:rsidRDefault="00AA3442" w:rsidP="00B65E1D">
            <w:pPr>
              <w:rPr>
                <w:rFonts w:ascii="Arial" w:hAnsi="Arial" w:cs="Arial"/>
                <w:sz w:val="22"/>
                <w:szCs w:val="22"/>
              </w:rPr>
            </w:pPr>
          </w:p>
          <w:p w14:paraId="56149EB1" w14:textId="77777777" w:rsidR="00AA3442" w:rsidRPr="0073082E" w:rsidRDefault="00AA3442" w:rsidP="00B65E1D">
            <w:pPr>
              <w:rPr>
                <w:rFonts w:ascii="Arial" w:hAnsi="Arial" w:cs="Arial"/>
                <w:b/>
                <w:bCs/>
                <w:sz w:val="22"/>
                <w:szCs w:val="22"/>
              </w:rPr>
            </w:pPr>
            <w:r w:rsidRPr="0073082E">
              <w:rPr>
                <w:rFonts w:ascii="Arial" w:hAnsi="Arial" w:cs="Arial"/>
                <w:b/>
                <w:bCs/>
                <w:sz w:val="22"/>
                <w:szCs w:val="22"/>
              </w:rPr>
              <w:t>Answer</w:t>
            </w:r>
          </w:p>
          <w:p w14:paraId="7018E276" w14:textId="3AC4E0AC" w:rsidR="00AA3442" w:rsidRPr="00B401E0" w:rsidRDefault="00AA3442" w:rsidP="00B65E1D">
            <w:pPr>
              <w:rPr>
                <w:rFonts w:ascii="Arial" w:hAnsi="Arial" w:cs="Arial"/>
                <w:color w:val="FF0000"/>
                <w:sz w:val="22"/>
                <w:szCs w:val="22"/>
              </w:rPr>
            </w:pPr>
            <w:r w:rsidRPr="00B401E0">
              <w:rPr>
                <w:rFonts w:ascii="Arial" w:hAnsi="Arial" w:cs="Arial"/>
                <w:color w:val="FF0000"/>
                <w:sz w:val="22"/>
                <w:szCs w:val="22"/>
              </w:rPr>
              <w:t>Yes, it will be possible to provide this.</w:t>
            </w:r>
            <w:r w:rsidR="00984563" w:rsidRPr="00B401E0">
              <w:rPr>
                <w:rFonts w:ascii="Arial" w:hAnsi="Arial" w:cs="Arial"/>
                <w:color w:val="FF0000"/>
                <w:sz w:val="22"/>
                <w:szCs w:val="22"/>
              </w:rPr>
              <w:t xml:space="preserve"> </w:t>
            </w:r>
          </w:p>
          <w:p w14:paraId="05B4B3DE" w14:textId="77777777" w:rsidR="00AA3442" w:rsidRDefault="00AA3442" w:rsidP="00B65E1D">
            <w:pPr>
              <w:rPr>
                <w:rFonts w:ascii="Arial" w:hAnsi="Arial" w:cs="Arial"/>
                <w:sz w:val="22"/>
                <w:szCs w:val="22"/>
              </w:rPr>
            </w:pPr>
          </w:p>
          <w:p w14:paraId="00650DD0" w14:textId="77777777" w:rsidR="00AA3442" w:rsidRPr="0073082E" w:rsidRDefault="00AA3442" w:rsidP="00B65E1D">
            <w:pPr>
              <w:rPr>
                <w:rFonts w:ascii="Arial" w:hAnsi="Arial" w:cs="Arial"/>
                <w:b/>
                <w:bCs/>
                <w:sz w:val="22"/>
                <w:szCs w:val="22"/>
              </w:rPr>
            </w:pPr>
            <w:r w:rsidRPr="0073082E">
              <w:rPr>
                <w:rFonts w:ascii="Arial" w:hAnsi="Arial" w:cs="Arial"/>
                <w:b/>
                <w:bCs/>
                <w:sz w:val="22"/>
                <w:szCs w:val="22"/>
              </w:rPr>
              <w:t>Question 8</w:t>
            </w:r>
          </w:p>
          <w:p w14:paraId="3FCFA6F3" w14:textId="77777777" w:rsidR="00AA3442" w:rsidRDefault="00AA3442" w:rsidP="00B65E1D">
            <w:pPr>
              <w:rPr>
                <w:rFonts w:ascii="Arial" w:hAnsi="Arial" w:cs="Arial"/>
                <w:b/>
                <w:bCs/>
                <w:sz w:val="22"/>
                <w:szCs w:val="22"/>
              </w:rPr>
            </w:pPr>
            <w:r w:rsidRPr="00092FCD">
              <w:rPr>
                <w:rFonts w:ascii="Arial" w:hAnsi="Arial" w:cs="Arial"/>
                <w:b/>
                <w:bCs/>
                <w:sz w:val="22"/>
                <w:szCs w:val="22"/>
              </w:rPr>
              <w:t xml:space="preserve">CQC Registration </w:t>
            </w:r>
            <w:r w:rsidRPr="00092FCD">
              <w:rPr>
                <w:rFonts w:ascii="Arial" w:hAnsi="Arial" w:cs="Arial"/>
                <w:sz w:val="22"/>
                <w:szCs w:val="22"/>
              </w:rPr>
              <w:t>-</w:t>
            </w:r>
            <w:r w:rsidRPr="00092FCD">
              <w:rPr>
                <w:rFonts w:ascii="Arial" w:hAnsi="Arial" w:cs="Arial"/>
                <w:b/>
                <w:bCs/>
                <w:sz w:val="22"/>
                <w:szCs w:val="22"/>
              </w:rPr>
              <w:t xml:space="preserve"> </w:t>
            </w:r>
            <w:r w:rsidRPr="00092FCD">
              <w:rPr>
                <w:rFonts w:ascii="Arial" w:hAnsi="Arial" w:cs="Arial"/>
                <w:sz w:val="22"/>
                <w:szCs w:val="22"/>
              </w:rPr>
              <w:t>Should the CQC registration cover both the residential unit and the day provision, or only the residential unit for which the provider will be accountable?</w:t>
            </w:r>
          </w:p>
          <w:p w14:paraId="1C448F93" w14:textId="77777777" w:rsidR="00AA3442" w:rsidRPr="00092FCD" w:rsidRDefault="00AA3442" w:rsidP="00B65E1D">
            <w:pPr>
              <w:rPr>
                <w:rFonts w:ascii="Arial" w:hAnsi="Arial" w:cs="Arial"/>
                <w:b/>
                <w:bCs/>
                <w:sz w:val="22"/>
                <w:szCs w:val="22"/>
              </w:rPr>
            </w:pPr>
          </w:p>
          <w:p w14:paraId="0D44AD5B" w14:textId="25191DEA" w:rsidR="00AA3442" w:rsidRDefault="00984563" w:rsidP="00B65E1D">
            <w:pPr>
              <w:rPr>
                <w:rFonts w:ascii="Arial" w:hAnsi="Arial" w:cs="Arial"/>
                <w:b/>
                <w:bCs/>
                <w:sz w:val="22"/>
                <w:szCs w:val="22"/>
              </w:rPr>
            </w:pPr>
            <w:r>
              <w:rPr>
                <w:rFonts w:ascii="Arial" w:hAnsi="Arial" w:cs="Arial"/>
                <w:b/>
                <w:bCs/>
                <w:sz w:val="22"/>
                <w:szCs w:val="22"/>
              </w:rPr>
              <w:t>Additional Comment</w:t>
            </w:r>
            <w:r w:rsidR="00AA3442" w:rsidRPr="00092FCD">
              <w:rPr>
                <w:rFonts w:ascii="Arial" w:hAnsi="Arial" w:cs="Arial"/>
                <w:b/>
                <w:bCs/>
                <w:sz w:val="22"/>
                <w:szCs w:val="22"/>
              </w:rPr>
              <w:t xml:space="preserve"> </w:t>
            </w:r>
            <w:r w:rsidR="00AA3442" w:rsidRPr="00092FCD">
              <w:rPr>
                <w:rFonts w:ascii="Arial" w:hAnsi="Arial" w:cs="Arial"/>
                <w:sz w:val="22"/>
                <w:szCs w:val="22"/>
              </w:rPr>
              <w:t>- Depending on the outcome of the registration decision, this could impact the lease arrangements, particularly if the building is in joint use.</w:t>
            </w:r>
          </w:p>
          <w:p w14:paraId="1EBB4351" w14:textId="77777777" w:rsidR="00AA3442" w:rsidRPr="00092FCD" w:rsidRDefault="00AA3442" w:rsidP="00B65E1D">
            <w:pPr>
              <w:rPr>
                <w:rFonts w:ascii="Arial" w:hAnsi="Arial" w:cs="Arial"/>
                <w:b/>
                <w:bCs/>
                <w:sz w:val="22"/>
                <w:szCs w:val="22"/>
              </w:rPr>
            </w:pPr>
          </w:p>
          <w:p w14:paraId="11124A4D" w14:textId="77777777" w:rsidR="00AA3442" w:rsidRPr="00092FCD" w:rsidRDefault="00AA3442" w:rsidP="00B65E1D">
            <w:pPr>
              <w:rPr>
                <w:rFonts w:ascii="Arial" w:hAnsi="Arial" w:cs="Arial"/>
                <w:b/>
                <w:bCs/>
                <w:sz w:val="22"/>
                <w:szCs w:val="22"/>
              </w:rPr>
            </w:pPr>
            <w:r w:rsidRPr="00092FCD">
              <w:rPr>
                <w:rFonts w:ascii="Arial" w:hAnsi="Arial" w:cs="Arial"/>
                <w:b/>
                <w:bCs/>
                <w:sz w:val="22"/>
                <w:szCs w:val="22"/>
              </w:rPr>
              <w:t>Answer</w:t>
            </w:r>
          </w:p>
          <w:p w14:paraId="2D95E6CF" w14:textId="6F07170F" w:rsidR="00AA3442" w:rsidRPr="00B401E0" w:rsidRDefault="00BF0B1D" w:rsidP="00B65E1D">
            <w:pPr>
              <w:rPr>
                <w:rFonts w:ascii="Arial" w:hAnsi="Arial" w:cs="Arial"/>
                <w:color w:val="FF0000"/>
                <w:sz w:val="22"/>
                <w:szCs w:val="22"/>
              </w:rPr>
            </w:pPr>
            <w:r>
              <w:rPr>
                <w:rFonts w:ascii="Arial" w:hAnsi="Arial" w:cs="Arial"/>
                <w:color w:val="FF0000"/>
                <w:sz w:val="22"/>
                <w:szCs w:val="22"/>
              </w:rPr>
              <w:t>We have been advised that it makes sense to have consistency, such that one provider registers for both service elements, particularly if they are the lead organisation providing care. However very recent advice from the CQC suggests that flexibility can be applied in this area. For example, the Trust has existing registration for Hawkesbury and it may be that this suffices for the Care Hub. Ultimately, we will work together with the chosen provider and agree a pragmatic way forward.</w:t>
            </w:r>
          </w:p>
          <w:p w14:paraId="08B7AF7F" w14:textId="77777777" w:rsidR="00984563" w:rsidRDefault="00984563" w:rsidP="00B65E1D">
            <w:pPr>
              <w:rPr>
                <w:rFonts w:ascii="Arial" w:hAnsi="Arial" w:cs="Arial"/>
                <w:sz w:val="22"/>
                <w:szCs w:val="22"/>
              </w:rPr>
            </w:pPr>
          </w:p>
          <w:p w14:paraId="6AC455F5" w14:textId="77777777" w:rsidR="00AA3442" w:rsidRPr="00092FCD" w:rsidRDefault="00AA3442" w:rsidP="00B65E1D">
            <w:pPr>
              <w:rPr>
                <w:rFonts w:ascii="Arial" w:hAnsi="Arial" w:cs="Arial"/>
                <w:b/>
                <w:bCs/>
                <w:sz w:val="22"/>
                <w:szCs w:val="22"/>
              </w:rPr>
            </w:pPr>
            <w:r w:rsidRPr="00092FCD">
              <w:rPr>
                <w:rFonts w:ascii="Arial" w:hAnsi="Arial" w:cs="Arial"/>
                <w:b/>
                <w:bCs/>
                <w:sz w:val="22"/>
                <w:szCs w:val="22"/>
              </w:rPr>
              <w:t>Question 9</w:t>
            </w:r>
          </w:p>
          <w:p w14:paraId="09229224" w14:textId="77777777" w:rsidR="00AA3442" w:rsidRPr="00092FCD" w:rsidRDefault="00AA3442" w:rsidP="00B65E1D">
            <w:pPr>
              <w:rPr>
                <w:rFonts w:ascii="Arial" w:hAnsi="Arial" w:cs="Arial"/>
                <w:b/>
                <w:bCs/>
                <w:sz w:val="22"/>
                <w:szCs w:val="22"/>
              </w:rPr>
            </w:pPr>
            <w:r w:rsidRPr="00092FCD">
              <w:rPr>
                <w:rFonts w:ascii="Arial" w:hAnsi="Arial" w:cs="Arial"/>
                <w:b/>
                <w:bCs/>
                <w:sz w:val="22"/>
                <w:szCs w:val="22"/>
              </w:rPr>
              <w:t>Long</w:t>
            </w:r>
            <w:r w:rsidRPr="00092FCD">
              <w:rPr>
                <w:rFonts w:ascii="Arial" w:hAnsi="Arial" w:cs="Arial"/>
                <w:b/>
                <w:bCs/>
                <w:sz w:val="22"/>
                <w:szCs w:val="22"/>
              </w:rPr>
              <w:noBreakHyphen/>
              <w:t xml:space="preserve">Term Residents </w:t>
            </w:r>
            <w:r w:rsidRPr="00092FCD">
              <w:rPr>
                <w:rFonts w:ascii="Arial" w:hAnsi="Arial" w:cs="Arial"/>
                <w:sz w:val="22"/>
                <w:szCs w:val="22"/>
              </w:rPr>
              <w:t>– How prescriptive will outcome measures be, and what does this mean for residents who have been in placement for several years? In such cases, how will provider performance be assessed?</w:t>
            </w:r>
          </w:p>
          <w:p w14:paraId="0E4D2568" w14:textId="77777777" w:rsidR="00AA3442" w:rsidRPr="00092FCD" w:rsidRDefault="00AA3442" w:rsidP="00B65E1D">
            <w:pPr>
              <w:rPr>
                <w:rFonts w:ascii="Arial" w:hAnsi="Arial" w:cs="Arial"/>
                <w:b/>
                <w:bCs/>
                <w:sz w:val="22"/>
                <w:szCs w:val="22"/>
              </w:rPr>
            </w:pPr>
          </w:p>
          <w:p w14:paraId="40A0AE58" w14:textId="77777777" w:rsidR="00AA3442" w:rsidRPr="00092FCD" w:rsidRDefault="00AA3442" w:rsidP="00B65E1D">
            <w:pPr>
              <w:rPr>
                <w:rFonts w:ascii="Arial" w:hAnsi="Arial" w:cs="Arial"/>
                <w:b/>
                <w:bCs/>
                <w:sz w:val="22"/>
                <w:szCs w:val="22"/>
              </w:rPr>
            </w:pPr>
            <w:r w:rsidRPr="00092FCD">
              <w:rPr>
                <w:rFonts w:ascii="Arial" w:hAnsi="Arial" w:cs="Arial"/>
                <w:b/>
                <w:bCs/>
                <w:sz w:val="22"/>
                <w:szCs w:val="22"/>
              </w:rPr>
              <w:t>Answer</w:t>
            </w:r>
          </w:p>
          <w:p w14:paraId="6F4D3C35" w14:textId="616368A0" w:rsidR="00AA3442" w:rsidRPr="0039258E" w:rsidRDefault="00AA3442" w:rsidP="00B65E1D">
            <w:pPr>
              <w:rPr>
                <w:rFonts w:ascii="Arial" w:hAnsi="Arial" w:cs="Arial"/>
                <w:sz w:val="22"/>
                <w:szCs w:val="22"/>
              </w:rPr>
            </w:pPr>
            <w:r w:rsidRPr="0039258E">
              <w:rPr>
                <w:rFonts w:ascii="Arial" w:hAnsi="Arial" w:cs="Arial"/>
                <w:color w:val="FF0000"/>
                <w:sz w:val="22"/>
                <w:szCs w:val="22"/>
              </w:rPr>
              <w:t xml:space="preserve">There are currently no longstanding residents </w:t>
            </w:r>
            <w:r w:rsidR="000448D1" w:rsidRPr="0039258E">
              <w:rPr>
                <w:rFonts w:ascii="Arial" w:hAnsi="Arial" w:cs="Arial"/>
                <w:color w:val="FF0000"/>
                <w:sz w:val="22"/>
                <w:szCs w:val="22"/>
              </w:rPr>
              <w:t xml:space="preserve">in Hawkesbury </w:t>
            </w:r>
            <w:r w:rsidRPr="0039258E">
              <w:rPr>
                <w:rFonts w:ascii="Arial" w:hAnsi="Arial" w:cs="Arial"/>
                <w:color w:val="FF0000"/>
                <w:sz w:val="22"/>
                <w:szCs w:val="22"/>
              </w:rPr>
              <w:t>(</w:t>
            </w:r>
            <w:r w:rsidR="000448D1" w:rsidRPr="0039258E">
              <w:rPr>
                <w:rFonts w:ascii="Arial" w:hAnsi="Arial" w:cs="Arial"/>
                <w:color w:val="FF0000"/>
                <w:sz w:val="22"/>
                <w:szCs w:val="22"/>
              </w:rPr>
              <w:t xml:space="preserve">i.e. </w:t>
            </w:r>
            <w:r w:rsidRPr="0039258E">
              <w:rPr>
                <w:rFonts w:ascii="Arial" w:hAnsi="Arial" w:cs="Arial"/>
                <w:color w:val="FF0000"/>
                <w:sz w:val="22"/>
                <w:szCs w:val="22"/>
              </w:rPr>
              <w:t>over six months). In anticipation of this work, ongoing efforts have supported individuals to move to more appropriate placements. At present, there is nobody at Hawkesbury Lodge who is expected to experience difficulties moving on</w:t>
            </w:r>
            <w:r w:rsidRPr="0039258E">
              <w:rPr>
                <w:rFonts w:ascii="Arial" w:hAnsi="Arial" w:cs="Arial"/>
                <w:sz w:val="22"/>
                <w:szCs w:val="22"/>
              </w:rPr>
              <w:t>.</w:t>
            </w:r>
          </w:p>
          <w:p w14:paraId="010BC015" w14:textId="77777777" w:rsidR="00AA3442" w:rsidRDefault="00AA3442" w:rsidP="00B65E1D">
            <w:pPr>
              <w:rPr>
                <w:rFonts w:ascii="Arial" w:hAnsi="Arial" w:cs="Arial"/>
                <w:sz w:val="22"/>
                <w:szCs w:val="22"/>
              </w:rPr>
            </w:pPr>
          </w:p>
          <w:p w14:paraId="3AD49ECD" w14:textId="77777777" w:rsidR="00AA3442" w:rsidRPr="00092FCD" w:rsidRDefault="00AA3442" w:rsidP="00B65E1D">
            <w:pPr>
              <w:rPr>
                <w:rFonts w:ascii="Arial" w:hAnsi="Arial" w:cs="Arial"/>
                <w:b/>
                <w:bCs/>
                <w:sz w:val="22"/>
                <w:szCs w:val="22"/>
              </w:rPr>
            </w:pPr>
            <w:r w:rsidRPr="00092FCD">
              <w:rPr>
                <w:rFonts w:ascii="Arial" w:hAnsi="Arial" w:cs="Arial"/>
                <w:b/>
                <w:bCs/>
                <w:sz w:val="22"/>
                <w:szCs w:val="22"/>
              </w:rPr>
              <w:t>Question 10</w:t>
            </w:r>
          </w:p>
          <w:p w14:paraId="09DCE8A8" w14:textId="77777777" w:rsidR="00AA3442" w:rsidRPr="00092FCD" w:rsidRDefault="00AA3442" w:rsidP="00B65E1D">
            <w:pPr>
              <w:rPr>
                <w:rFonts w:ascii="Arial" w:hAnsi="Arial" w:cs="Arial"/>
                <w:b/>
                <w:bCs/>
                <w:sz w:val="22"/>
                <w:szCs w:val="22"/>
              </w:rPr>
            </w:pPr>
            <w:r w:rsidRPr="00092FCD">
              <w:rPr>
                <w:rFonts w:ascii="Arial" w:hAnsi="Arial" w:cs="Arial"/>
                <w:b/>
                <w:bCs/>
                <w:sz w:val="22"/>
                <w:szCs w:val="22"/>
              </w:rPr>
              <w:t xml:space="preserve">Key Performance Indicators (KPIs) – </w:t>
            </w:r>
            <w:r w:rsidRPr="00092FCD">
              <w:rPr>
                <w:rFonts w:ascii="Arial" w:hAnsi="Arial" w:cs="Arial"/>
                <w:sz w:val="22"/>
                <w:szCs w:val="22"/>
              </w:rPr>
              <w:t>How will KPIs be applied, and how will outcome measures be assessed given the partnership requirement and dual responsibility?</w:t>
            </w:r>
          </w:p>
          <w:p w14:paraId="7AD62D39" w14:textId="77777777" w:rsidR="00AA3442" w:rsidRPr="00092FCD" w:rsidRDefault="00AA3442" w:rsidP="00B65E1D">
            <w:pPr>
              <w:rPr>
                <w:rFonts w:ascii="Arial" w:hAnsi="Arial" w:cs="Arial"/>
                <w:b/>
                <w:bCs/>
                <w:sz w:val="22"/>
                <w:szCs w:val="22"/>
              </w:rPr>
            </w:pPr>
          </w:p>
          <w:p w14:paraId="0591ECC1" w14:textId="77777777" w:rsidR="00AA3442" w:rsidRPr="00092FCD" w:rsidRDefault="00AA3442" w:rsidP="00B65E1D">
            <w:pPr>
              <w:rPr>
                <w:rFonts w:ascii="Arial" w:hAnsi="Arial" w:cs="Arial"/>
                <w:b/>
                <w:bCs/>
                <w:sz w:val="22"/>
                <w:szCs w:val="22"/>
              </w:rPr>
            </w:pPr>
            <w:r w:rsidRPr="00092FCD">
              <w:rPr>
                <w:rFonts w:ascii="Arial" w:hAnsi="Arial" w:cs="Arial"/>
                <w:b/>
                <w:bCs/>
                <w:sz w:val="22"/>
                <w:szCs w:val="22"/>
              </w:rPr>
              <w:t>Answer</w:t>
            </w:r>
          </w:p>
          <w:p w14:paraId="4A346421" w14:textId="38795216" w:rsidR="00AA3442" w:rsidRPr="00B401E0" w:rsidRDefault="00AA3442" w:rsidP="00B65E1D">
            <w:pPr>
              <w:rPr>
                <w:rFonts w:ascii="Arial" w:hAnsi="Arial" w:cs="Arial"/>
                <w:color w:val="FF0000"/>
                <w:sz w:val="22"/>
                <w:szCs w:val="22"/>
              </w:rPr>
            </w:pPr>
            <w:r w:rsidRPr="00B401E0">
              <w:rPr>
                <w:rFonts w:ascii="Arial" w:hAnsi="Arial" w:cs="Arial"/>
                <w:color w:val="FF0000"/>
                <w:sz w:val="22"/>
                <w:szCs w:val="22"/>
              </w:rPr>
              <w:lastRenderedPageBreak/>
              <w:t xml:space="preserve">Previous </w:t>
            </w:r>
            <w:r w:rsidR="00B401E0" w:rsidRPr="00B401E0">
              <w:rPr>
                <w:rFonts w:ascii="Arial" w:hAnsi="Arial" w:cs="Arial"/>
                <w:color w:val="FF0000"/>
                <w:sz w:val="22"/>
                <w:szCs w:val="22"/>
              </w:rPr>
              <w:t xml:space="preserve">experience of implementing new services </w:t>
            </w:r>
            <w:r w:rsidR="00B401E0">
              <w:rPr>
                <w:rFonts w:ascii="Arial" w:hAnsi="Arial" w:cs="Arial"/>
                <w:color w:val="FF0000"/>
                <w:sz w:val="22"/>
                <w:szCs w:val="22"/>
              </w:rPr>
              <w:t xml:space="preserve">leads us to </w:t>
            </w:r>
            <w:r w:rsidR="00B401E0" w:rsidRPr="00B401E0">
              <w:rPr>
                <w:rFonts w:ascii="Arial" w:hAnsi="Arial" w:cs="Arial"/>
                <w:color w:val="FF0000"/>
                <w:sz w:val="22"/>
                <w:szCs w:val="22"/>
              </w:rPr>
              <w:t xml:space="preserve">support an </w:t>
            </w:r>
            <w:r w:rsidRPr="00B401E0">
              <w:rPr>
                <w:rFonts w:ascii="Arial" w:hAnsi="Arial" w:cs="Arial"/>
                <w:color w:val="FF0000"/>
                <w:sz w:val="22"/>
                <w:szCs w:val="22"/>
              </w:rPr>
              <w:t>incremental approach to outcome measures and KPIs. It is anticipated that there will be an element of co</w:t>
            </w:r>
            <w:r w:rsidRPr="00B401E0">
              <w:rPr>
                <w:rFonts w:ascii="Arial" w:hAnsi="Arial" w:cs="Arial"/>
                <w:color w:val="FF0000"/>
                <w:sz w:val="22"/>
                <w:szCs w:val="22"/>
              </w:rPr>
              <w:noBreakHyphen/>
              <w:t xml:space="preserve">production with the provider in developing </w:t>
            </w:r>
            <w:r w:rsidR="00B401E0">
              <w:rPr>
                <w:rFonts w:ascii="Arial" w:hAnsi="Arial" w:cs="Arial"/>
                <w:color w:val="FF0000"/>
                <w:sz w:val="22"/>
                <w:szCs w:val="22"/>
              </w:rPr>
              <w:t xml:space="preserve">these </w:t>
            </w:r>
            <w:r w:rsidRPr="00B401E0">
              <w:rPr>
                <w:rFonts w:ascii="Arial" w:hAnsi="Arial" w:cs="Arial"/>
                <w:color w:val="FF0000"/>
                <w:sz w:val="22"/>
                <w:szCs w:val="22"/>
              </w:rPr>
              <w:t xml:space="preserve">measures, with the expectation that they will evolve organically throughout the </w:t>
            </w:r>
            <w:r w:rsidR="00B401E0">
              <w:rPr>
                <w:rFonts w:ascii="Arial" w:hAnsi="Arial" w:cs="Arial"/>
                <w:color w:val="FF0000"/>
                <w:sz w:val="22"/>
                <w:szCs w:val="22"/>
              </w:rPr>
              <w:t xml:space="preserve">first 12 months </w:t>
            </w:r>
            <w:r w:rsidRPr="00B401E0">
              <w:rPr>
                <w:rFonts w:ascii="Arial" w:hAnsi="Arial" w:cs="Arial"/>
                <w:color w:val="FF0000"/>
                <w:sz w:val="22"/>
                <w:szCs w:val="22"/>
              </w:rPr>
              <w:t>of the contract.</w:t>
            </w:r>
            <w:r w:rsidR="00B401E0">
              <w:rPr>
                <w:rFonts w:ascii="Arial" w:hAnsi="Arial" w:cs="Arial"/>
                <w:color w:val="FF0000"/>
                <w:sz w:val="22"/>
                <w:szCs w:val="22"/>
              </w:rPr>
              <w:t xml:space="preserve"> Once introduced, p</w:t>
            </w:r>
            <w:r w:rsidR="00B401E0" w:rsidRPr="00B401E0">
              <w:rPr>
                <w:rFonts w:ascii="Arial" w:hAnsi="Arial" w:cs="Arial"/>
                <w:color w:val="FF0000"/>
                <w:sz w:val="22"/>
                <w:szCs w:val="22"/>
              </w:rPr>
              <w:t xml:space="preserve">erformance measures are likely to be managed </w:t>
            </w:r>
            <w:r w:rsidR="009A41A8">
              <w:rPr>
                <w:rFonts w:ascii="Arial" w:hAnsi="Arial" w:cs="Arial"/>
                <w:color w:val="FF0000"/>
                <w:sz w:val="22"/>
                <w:szCs w:val="22"/>
              </w:rPr>
              <w:t>in consultation with the provider</w:t>
            </w:r>
          </w:p>
          <w:p w14:paraId="56F232C8" w14:textId="77777777" w:rsidR="00AA3442" w:rsidRDefault="00AA3442" w:rsidP="00B65E1D">
            <w:pPr>
              <w:rPr>
                <w:rFonts w:ascii="Arial" w:hAnsi="Arial" w:cs="Arial"/>
                <w:sz w:val="22"/>
                <w:szCs w:val="22"/>
              </w:rPr>
            </w:pPr>
          </w:p>
          <w:p w14:paraId="249318F8" w14:textId="77777777" w:rsidR="00AA3442" w:rsidRPr="00D25B28" w:rsidRDefault="00AA3442" w:rsidP="00B65E1D">
            <w:pPr>
              <w:rPr>
                <w:rFonts w:ascii="Arial" w:hAnsi="Arial" w:cs="Arial"/>
                <w:b/>
                <w:bCs/>
                <w:sz w:val="22"/>
                <w:szCs w:val="22"/>
              </w:rPr>
            </w:pPr>
            <w:r w:rsidRPr="00D25B28">
              <w:rPr>
                <w:rFonts w:ascii="Arial" w:hAnsi="Arial" w:cs="Arial"/>
                <w:b/>
                <w:bCs/>
                <w:sz w:val="22"/>
                <w:szCs w:val="22"/>
              </w:rPr>
              <w:t>Question 11</w:t>
            </w:r>
          </w:p>
          <w:p w14:paraId="3A31B4AA" w14:textId="77777777" w:rsidR="00AA3442" w:rsidRPr="00D25B28" w:rsidRDefault="00AA3442" w:rsidP="00B65E1D">
            <w:pPr>
              <w:rPr>
                <w:rFonts w:ascii="Arial" w:hAnsi="Arial" w:cs="Arial"/>
                <w:sz w:val="22"/>
                <w:szCs w:val="22"/>
              </w:rPr>
            </w:pPr>
            <w:r w:rsidRPr="00D25B28">
              <w:rPr>
                <w:rFonts w:ascii="Arial" w:hAnsi="Arial" w:cs="Arial"/>
                <w:b/>
                <w:bCs/>
                <w:sz w:val="22"/>
                <w:szCs w:val="22"/>
              </w:rPr>
              <w:t>Housing Provision</w:t>
            </w:r>
            <w:r w:rsidRPr="00D25B28">
              <w:rPr>
                <w:rFonts w:ascii="Arial" w:hAnsi="Arial" w:cs="Arial"/>
                <w:sz w:val="22"/>
                <w:szCs w:val="22"/>
              </w:rPr>
              <w:t xml:space="preserve"> – For move</w:t>
            </w:r>
            <w:r w:rsidRPr="00D25B28">
              <w:rPr>
                <w:rFonts w:ascii="Arial" w:hAnsi="Arial" w:cs="Arial"/>
                <w:sz w:val="22"/>
                <w:szCs w:val="22"/>
              </w:rPr>
              <w:noBreakHyphen/>
              <w:t>on into more independent living after the proposed 18 months, what commitments are in place with housing providers to ensure timely transition? If there are delays due to housing availability, would this be considered when assessing provider performance?</w:t>
            </w:r>
          </w:p>
          <w:p w14:paraId="1FECBE0B" w14:textId="77777777" w:rsidR="00AA3442" w:rsidRPr="00D25B28" w:rsidRDefault="00AA3442" w:rsidP="00B65E1D">
            <w:pPr>
              <w:rPr>
                <w:rFonts w:ascii="Arial" w:hAnsi="Arial" w:cs="Arial"/>
                <w:sz w:val="22"/>
                <w:szCs w:val="22"/>
              </w:rPr>
            </w:pPr>
          </w:p>
          <w:p w14:paraId="58436F21" w14:textId="77777777" w:rsidR="00AA3442" w:rsidRPr="00D25B28" w:rsidRDefault="00AA3442" w:rsidP="00B65E1D">
            <w:pPr>
              <w:rPr>
                <w:rFonts w:ascii="Arial" w:hAnsi="Arial" w:cs="Arial"/>
                <w:b/>
                <w:bCs/>
                <w:sz w:val="22"/>
                <w:szCs w:val="22"/>
              </w:rPr>
            </w:pPr>
            <w:r w:rsidRPr="00D25B28">
              <w:rPr>
                <w:rFonts w:ascii="Arial" w:hAnsi="Arial" w:cs="Arial"/>
                <w:b/>
                <w:bCs/>
                <w:sz w:val="22"/>
                <w:szCs w:val="22"/>
              </w:rPr>
              <w:t>Answer</w:t>
            </w:r>
          </w:p>
          <w:p w14:paraId="5CC9DE64" w14:textId="1671C8B0" w:rsidR="00FE15CC" w:rsidRPr="00BB64C4" w:rsidRDefault="00AA3442" w:rsidP="00FE15CC">
            <w:pPr>
              <w:rPr>
                <w:rFonts w:ascii="Arial" w:hAnsi="Arial" w:cs="Arial"/>
                <w:color w:val="FF0000"/>
              </w:rPr>
            </w:pPr>
            <w:r w:rsidRPr="00BB64C4">
              <w:rPr>
                <w:rFonts w:ascii="Arial" w:hAnsi="Arial" w:cs="Arial"/>
                <w:color w:val="FF0000"/>
                <w:sz w:val="22"/>
                <w:szCs w:val="22"/>
              </w:rPr>
              <w:t xml:space="preserve">There is ongoing work </w:t>
            </w:r>
            <w:r w:rsidR="00FE15CC" w:rsidRPr="00BB64C4">
              <w:rPr>
                <w:rFonts w:ascii="Arial" w:hAnsi="Arial" w:cs="Arial"/>
                <w:color w:val="FF0000"/>
                <w:sz w:val="22"/>
                <w:szCs w:val="22"/>
              </w:rPr>
              <w:t xml:space="preserve">occurring, supported by </w:t>
            </w:r>
            <w:r w:rsidR="00971A5F" w:rsidRPr="00BB64C4">
              <w:rPr>
                <w:rFonts w:ascii="Arial" w:hAnsi="Arial" w:cs="Arial"/>
                <w:color w:val="FF0000"/>
                <w:sz w:val="22"/>
                <w:szCs w:val="22"/>
              </w:rPr>
              <w:t xml:space="preserve">the </w:t>
            </w:r>
            <w:r w:rsidRPr="00BB64C4">
              <w:rPr>
                <w:rFonts w:ascii="Arial" w:hAnsi="Arial" w:cs="Arial"/>
                <w:color w:val="FF0000"/>
                <w:sz w:val="22"/>
                <w:szCs w:val="22"/>
              </w:rPr>
              <w:t>H</w:t>
            </w:r>
            <w:r w:rsidR="00971A5F" w:rsidRPr="00BB64C4">
              <w:rPr>
                <w:rFonts w:ascii="Arial" w:hAnsi="Arial" w:cs="Arial"/>
                <w:color w:val="FF0000"/>
                <w:sz w:val="22"/>
                <w:szCs w:val="22"/>
              </w:rPr>
              <w:t xml:space="preserve">ousing </w:t>
            </w:r>
            <w:r w:rsidRPr="00BB64C4">
              <w:rPr>
                <w:rFonts w:ascii="Arial" w:hAnsi="Arial" w:cs="Arial"/>
                <w:color w:val="FF0000"/>
                <w:sz w:val="22"/>
                <w:szCs w:val="22"/>
              </w:rPr>
              <w:t>A</w:t>
            </w:r>
            <w:r w:rsidR="00971A5F" w:rsidRPr="00BB64C4">
              <w:rPr>
                <w:rFonts w:ascii="Arial" w:hAnsi="Arial" w:cs="Arial"/>
                <w:color w:val="FF0000"/>
                <w:sz w:val="22"/>
                <w:szCs w:val="22"/>
              </w:rPr>
              <w:t xml:space="preserve">ssociation </w:t>
            </w:r>
            <w:r w:rsidRPr="00BB64C4">
              <w:rPr>
                <w:rFonts w:ascii="Arial" w:hAnsi="Arial" w:cs="Arial"/>
                <w:color w:val="FF0000"/>
                <w:sz w:val="22"/>
                <w:szCs w:val="22"/>
              </w:rPr>
              <w:t>C</w:t>
            </w:r>
            <w:r w:rsidR="00971A5F" w:rsidRPr="00BB64C4">
              <w:rPr>
                <w:rFonts w:ascii="Arial" w:hAnsi="Arial" w:cs="Arial"/>
                <w:color w:val="FF0000"/>
                <w:sz w:val="22"/>
                <w:szCs w:val="22"/>
              </w:rPr>
              <w:t xml:space="preserve">haritable </w:t>
            </w:r>
            <w:r w:rsidRPr="00BB64C4">
              <w:rPr>
                <w:rFonts w:ascii="Arial" w:hAnsi="Arial" w:cs="Arial"/>
                <w:color w:val="FF0000"/>
                <w:sz w:val="22"/>
                <w:szCs w:val="22"/>
              </w:rPr>
              <w:t>T</w:t>
            </w:r>
            <w:r w:rsidR="00971A5F" w:rsidRPr="00BB64C4">
              <w:rPr>
                <w:rFonts w:ascii="Arial" w:hAnsi="Arial" w:cs="Arial"/>
                <w:color w:val="FF0000"/>
                <w:sz w:val="22"/>
                <w:szCs w:val="22"/>
              </w:rPr>
              <w:t>rust</w:t>
            </w:r>
            <w:r w:rsidRPr="00BB64C4">
              <w:rPr>
                <w:rFonts w:ascii="Arial" w:hAnsi="Arial" w:cs="Arial"/>
                <w:color w:val="FF0000"/>
                <w:sz w:val="22"/>
                <w:szCs w:val="22"/>
              </w:rPr>
              <w:t xml:space="preserve"> </w:t>
            </w:r>
            <w:r w:rsidR="00971A5F" w:rsidRPr="00BB64C4">
              <w:rPr>
                <w:rFonts w:ascii="Arial" w:hAnsi="Arial" w:cs="Arial"/>
                <w:color w:val="FF0000"/>
                <w:sz w:val="22"/>
                <w:szCs w:val="22"/>
              </w:rPr>
              <w:t>(HACT)</w:t>
            </w:r>
            <w:r w:rsidR="00FE15CC" w:rsidRPr="00BB64C4">
              <w:rPr>
                <w:rFonts w:ascii="Arial" w:hAnsi="Arial" w:cs="Arial"/>
                <w:color w:val="FF0000"/>
                <w:sz w:val="22"/>
                <w:szCs w:val="22"/>
              </w:rPr>
              <w:t>,</w:t>
            </w:r>
            <w:r w:rsidR="00971A5F" w:rsidRPr="00BB64C4">
              <w:rPr>
                <w:rFonts w:ascii="Arial" w:hAnsi="Arial" w:cs="Arial"/>
                <w:color w:val="FF0000"/>
                <w:sz w:val="22"/>
                <w:szCs w:val="22"/>
              </w:rPr>
              <w:t xml:space="preserve"> </w:t>
            </w:r>
            <w:r w:rsidRPr="00BB64C4">
              <w:rPr>
                <w:rFonts w:ascii="Arial" w:hAnsi="Arial" w:cs="Arial"/>
                <w:color w:val="FF0000"/>
                <w:sz w:val="22"/>
                <w:szCs w:val="22"/>
              </w:rPr>
              <w:t xml:space="preserve">to develop a mental health housing strategy. </w:t>
            </w:r>
            <w:r w:rsidR="00FE15CC" w:rsidRPr="00BB64C4">
              <w:rPr>
                <w:rFonts w:ascii="Arial" w:hAnsi="Arial" w:cs="Arial"/>
                <w:color w:val="FF0000"/>
                <w:sz w:val="22"/>
                <w:szCs w:val="22"/>
              </w:rPr>
              <w:t xml:space="preserve">HACT is also undertaking a bespoke piece of work for CWPT to </w:t>
            </w:r>
            <w:r w:rsidR="00FE15CC" w:rsidRPr="00FE15CC">
              <w:rPr>
                <w:rFonts w:ascii="Arial" w:hAnsi="Arial" w:cs="Arial"/>
                <w:color w:val="FF0000"/>
                <w:sz w:val="22"/>
                <w:szCs w:val="22"/>
              </w:rPr>
              <w:t>elevate and make more visible the specific housing challenges impacting rehab pathway flow</w:t>
            </w:r>
            <w:r w:rsidR="00FE15CC" w:rsidRPr="00BB64C4">
              <w:rPr>
                <w:rFonts w:ascii="Arial" w:hAnsi="Arial" w:cs="Arial"/>
                <w:color w:val="FF0000"/>
                <w:sz w:val="22"/>
                <w:szCs w:val="22"/>
              </w:rPr>
              <w:t xml:space="preserve"> within Coventry and Warwickshire. </w:t>
            </w:r>
            <w:r w:rsidR="00FE15CC" w:rsidRPr="00FE15CC">
              <w:rPr>
                <w:rFonts w:ascii="Arial" w:hAnsi="Arial" w:cs="Arial"/>
                <w:color w:val="FF0000"/>
                <w:sz w:val="22"/>
                <w:szCs w:val="22"/>
              </w:rPr>
              <w:t>HACT will produce a summary document that clearly highlights key challenges and provide a suggested roadmap and recommendations for further work.</w:t>
            </w:r>
            <w:r w:rsidR="00FE15CC" w:rsidRPr="00BB64C4">
              <w:rPr>
                <w:rFonts w:ascii="Arial" w:hAnsi="Arial" w:cs="Arial"/>
                <w:color w:val="FF0000"/>
                <w:sz w:val="22"/>
                <w:szCs w:val="22"/>
              </w:rPr>
              <w:t xml:space="preserve"> This will help inform the move on strategy from Hawkesbury </w:t>
            </w:r>
            <w:r w:rsidR="00BB64C4" w:rsidRPr="00BB64C4">
              <w:rPr>
                <w:rFonts w:ascii="Arial" w:hAnsi="Arial" w:cs="Arial"/>
                <w:color w:val="FF0000"/>
                <w:sz w:val="22"/>
                <w:szCs w:val="22"/>
              </w:rPr>
              <w:t>and across the Trust generally</w:t>
            </w:r>
            <w:r w:rsidR="00FE15CC" w:rsidRPr="00BB64C4">
              <w:rPr>
                <w:rFonts w:ascii="Arial" w:hAnsi="Arial" w:cs="Arial"/>
                <w:color w:val="FF0000"/>
                <w:sz w:val="22"/>
                <w:szCs w:val="22"/>
              </w:rPr>
              <w:t>.</w:t>
            </w:r>
          </w:p>
          <w:p w14:paraId="0EDB2D8B" w14:textId="77777777" w:rsidR="00FE15CC" w:rsidRPr="00FE15CC" w:rsidRDefault="00FE15CC" w:rsidP="00FE15CC">
            <w:pPr>
              <w:rPr>
                <w:rFonts w:ascii="Arial" w:hAnsi="Arial" w:cs="Arial"/>
                <w:color w:val="FF0000"/>
              </w:rPr>
            </w:pPr>
          </w:p>
          <w:p w14:paraId="2E0B3B9A" w14:textId="4BEC7B24" w:rsidR="00AA3442" w:rsidRPr="00BB64C4" w:rsidRDefault="00FE15CC" w:rsidP="00B65E1D">
            <w:pPr>
              <w:rPr>
                <w:rFonts w:ascii="Arial" w:hAnsi="Arial" w:cs="Arial"/>
                <w:color w:val="FF0000"/>
                <w:sz w:val="22"/>
                <w:szCs w:val="22"/>
              </w:rPr>
            </w:pPr>
            <w:r w:rsidRPr="00BB64C4">
              <w:rPr>
                <w:rFonts w:ascii="Arial" w:hAnsi="Arial" w:cs="Arial"/>
                <w:color w:val="FF0000"/>
                <w:sz w:val="22"/>
                <w:szCs w:val="22"/>
              </w:rPr>
              <w:t>In relation to the second question, i</w:t>
            </w:r>
            <w:r w:rsidR="00AA3442" w:rsidRPr="00BB64C4">
              <w:rPr>
                <w:rFonts w:ascii="Arial" w:hAnsi="Arial" w:cs="Arial"/>
                <w:color w:val="FF0000"/>
                <w:sz w:val="22"/>
                <w:szCs w:val="22"/>
              </w:rPr>
              <w:t>f the Trust is satisfied that the provider has taken all reasonable steps to facilitate a move</w:t>
            </w:r>
            <w:r w:rsidR="00AA3442" w:rsidRPr="00BB64C4">
              <w:rPr>
                <w:rFonts w:ascii="Arial" w:hAnsi="Arial" w:cs="Arial"/>
                <w:color w:val="FF0000"/>
                <w:sz w:val="22"/>
                <w:szCs w:val="22"/>
              </w:rPr>
              <w:noBreakHyphen/>
              <w:t xml:space="preserve">on, then responsibility for delays would not rest </w:t>
            </w:r>
            <w:r w:rsidRPr="00BB64C4">
              <w:rPr>
                <w:rFonts w:ascii="Arial" w:hAnsi="Arial" w:cs="Arial"/>
                <w:color w:val="FF0000"/>
                <w:sz w:val="22"/>
                <w:szCs w:val="22"/>
              </w:rPr>
              <w:t xml:space="preserve">solely </w:t>
            </w:r>
            <w:r w:rsidR="00AA3442" w:rsidRPr="00BB64C4">
              <w:rPr>
                <w:rFonts w:ascii="Arial" w:hAnsi="Arial" w:cs="Arial"/>
                <w:color w:val="FF0000"/>
                <w:sz w:val="22"/>
                <w:szCs w:val="22"/>
              </w:rPr>
              <w:t>with the provider.</w:t>
            </w:r>
          </w:p>
          <w:p w14:paraId="7FFA4B06" w14:textId="77777777" w:rsidR="00AA3442" w:rsidRDefault="00AA3442" w:rsidP="00B65E1D">
            <w:pPr>
              <w:rPr>
                <w:rFonts w:ascii="Arial" w:hAnsi="Arial" w:cs="Arial"/>
                <w:sz w:val="22"/>
                <w:szCs w:val="22"/>
              </w:rPr>
            </w:pPr>
          </w:p>
          <w:p w14:paraId="401D1B58" w14:textId="77777777" w:rsidR="00AA3442" w:rsidRPr="00D25B28" w:rsidRDefault="00AA3442" w:rsidP="00B65E1D">
            <w:pPr>
              <w:rPr>
                <w:rFonts w:ascii="Arial" w:hAnsi="Arial" w:cs="Arial"/>
                <w:b/>
                <w:bCs/>
                <w:sz w:val="22"/>
                <w:szCs w:val="22"/>
              </w:rPr>
            </w:pPr>
            <w:r w:rsidRPr="00D25B28">
              <w:rPr>
                <w:rFonts w:ascii="Arial" w:hAnsi="Arial" w:cs="Arial"/>
                <w:b/>
                <w:bCs/>
                <w:sz w:val="22"/>
                <w:szCs w:val="22"/>
              </w:rPr>
              <w:t>Question 12</w:t>
            </w:r>
          </w:p>
          <w:p w14:paraId="37AEC3AE" w14:textId="77777777" w:rsidR="00AA3442" w:rsidRPr="00D25B28" w:rsidRDefault="00AA3442" w:rsidP="00B65E1D">
            <w:pPr>
              <w:rPr>
                <w:rFonts w:ascii="Arial" w:hAnsi="Arial" w:cs="Arial"/>
                <w:sz w:val="22"/>
                <w:szCs w:val="22"/>
              </w:rPr>
            </w:pPr>
            <w:r w:rsidRPr="00D25B28">
              <w:rPr>
                <w:rFonts w:ascii="Arial" w:hAnsi="Arial" w:cs="Arial"/>
                <w:b/>
                <w:bCs/>
                <w:sz w:val="22"/>
                <w:szCs w:val="22"/>
              </w:rPr>
              <w:t>Information Sharing Agreement</w:t>
            </w:r>
            <w:r w:rsidRPr="00D25B28">
              <w:rPr>
                <w:rFonts w:ascii="Arial" w:hAnsi="Arial" w:cs="Arial"/>
                <w:sz w:val="22"/>
                <w:szCs w:val="22"/>
              </w:rPr>
              <w:t xml:space="preserve"> – How is information sharing expected to be managed? Will the provider have access to NHS systems for care planning, such as SystmOne?</w:t>
            </w:r>
          </w:p>
          <w:p w14:paraId="4695B357" w14:textId="77777777" w:rsidR="00AA3442" w:rsidRPr="00D25B28" w:rsidRDefault="00AA3442" w:rsidP="00B65E1D">
            <w:pPr>
              <w:rPr>
                <w:rFonts w:ascii="Arial" w:hAnsi="Arial" w:cs="Arial"/>
                <w:sz w:val="22"/>
                <w:szCs w:val="22"/>
              </w:rPr>
            </w:pPr>
          </w:p>
          <w:p w14:paraId="780DF53B" w14:textId="77777777" w:rsidR="00AA3442" w:rsidRPr="00D25B28" w:rsidRDefault="00AA3442" w:rsidP="00B65E1D">
            <w:pPr>
              <w:rPr>
                <w:rFonts w:ascii="Arial" w:hAnsi="Arial" w:cs="Arial"/>
                <w:b/>
                <w:bCs/>
                <w:sz w:val="22"/>
                <w:szCs w:val="22"/>
              </w:rPr>
            </w:pPr>
            <w:r w:rsidRPr="00D25B28">
              <w:rPr>
                <w:rFonts w:ascii="Arial" w:hAnsi="Arial" w:cs="Arial"/>
                <w:b/>
                <w:bCs/>
                <w:sz w:val="22"/>
                <w:szCs w:val="22"/>
              </w:rPr>
              <w:t>Answer</w:t>
            </w:r>
          </w:p>
          <w:p w14:paraId="4A85D676" w14:textId="2B0ED4D7" w:rsidR="00AA3442" w:rsidRPr="00BB64C4" w:rsidRDefault="00AA3442" w:rsidP="00B65E1D">
            <w:pPr>
              <w:rPr>
                <w:rFonts w:ascii="Arial" w:hAnsi="Arial" w:cs="Arial"/>
                <w:color w:val="FF0000"/>
                <w:sz w:val="22"/>
                <w:szCs w:val="22"/>
              </w:rPr>
            </w:pPr>
            <w:r w:rsidRPr="00BB64C4">
              <w:rPr>
                <w:rFonts w:ascii="Arial" w:hAnsi="Arial" w:cs="Arial"/>
                <w:color w:val="FF0000"/>
                <w:sz w:val="22"/>
                <w:szCs w:val="22"/>
              </w:rPr>
              <w:t>This has not yet been fully considered</w:t>
            </w:r>
            <w:r w:rsidR="00BB64C4" w:rsidRPr="00BB64C4">
              <w:rPr>
                <w:rFonts w:ascii="Arial" w:hAnsi="Arial" w:cs="Arial"/>
                <w:color w:val="FF0000"/>
                <w:sz w:val="22"/>
                <w:szCs w:val="22"/>
              </w:rPr>
              <w:t xml:space="preserve"> to date</w:t>
            </w:r>
            <w:r w:rsidRPr="00BB64C4">
              <w:rPr>
                <w:rFonts w:ascii="Arial" w:hAnsi="Arial" w:cs="Arial"/>
                <w:color w:val="FF0000"/>
                <w:sz w:val="22"/>
                <w:szCs w:val="22"/>
              </w:rPr>
              <w:t xml:space="preserve">. </w:t>
            </w:r>
            <w:r w:rsidR="00BB64C4" w:rsidRPr="00BB64C4">
              <w:rPr>
                <w:rFonts w:ascii="Arial" w:hAnsi="Arial" w:cs="Arial"/>
                <w:color w:val="FF0000"/>
                <w:sz w:val="22"/>
                <w:szCs w:val="22"/>
              </w:rPr>
              <w:t xml:space="preserve">The Trust </w:t>
            </w:r>
            <w:r w:rsidR="00ED738C">
              <w:rPr>
                <w:rFonts w:ascii="Arial" w:hAnsi="Arial" w:cs="Arial"/>
                <w:color w:val="FF0000"/>
                <w:sz w:val="22"/>
                <w:szCs w:val="22"/>
              </w:rPr>
              <w:t xml:space="preserve">has only just </w:t>
            </w:r>
            <w:r w:rsidR="00BB64C4" w:rsidRPr="00BB64C4">
              <w:rPr>
                <w:rFonts w:ascii="Arial" w:hAnsi="Arial" w:cs="Arial"/>
                <w:color w:val="FF0000"/>
                <w:sz w:val="22"/>
                <w:szCs w:val="22"/>
              </w:rPr>
              <w:t>mobilis</w:t>
            </w:r>
            <w:r w:rsidR="00ED738C">
              <w:rPr>
                <w:rFonts w:ascii="Arial" w:hAnsi="Arial" w:cs="Arial"/>
                <w:color w:val="FF0000"/>
                <w:sz w:val="22"/>
                <w:szCs w:val="22"/>
              </w:rPr>
              <w:t>ed</w:t>
            </w:r>
            <w:r w:rsidR="00BB64C4" w:rsidRPr="00BB64C4">
              <w:rPr>
                <w:rFonts w:ascii="Arial" w:hAnsi="Arial" w:cs="Arial"/>
                <w:color w:val="FF0000"/>
                <w:sz w:val="22"/>
                <w:szCs w:val="22"/>
              </w:rPr>
              <w:t xml:space="preserve"> SystmOne as a </w:t>
            </w:r>
            <w:r w:rsidR="00122AD9">
              <w:rPr>
                <w:rFonts w:ascii="Arial" w:hAnsi="Arial" w:cs="Arial"/>
                <w:color w:val="FF0000"/>
                <w:sz w:val="22"/>
                <w:szCs w:val="22"/>
              </w:rPr>
              <w:t xml:space="preserve">new Electronic Patient Records system and </w:t>
            </w:r>
            <w:r w:rsidR="00BB64C4" w:rsidRPr="00BB64C4">
              <w:rPr>
                <w:rFonts w:ascii="Arial" w:hAnsi="Arial" w:cs="Arial"/>
                <w:color w:val="FF0000"/>
                <w:sz w:val="22"/>
                <w:szCs w:val="22"/>
              </w:rPr>
              <w:t xml:space="preserve">replacement to Care Notes. </w:t>
            </w:r>
            <w:r w:rsidRPr="00BB64C4">
              <w:rPr>
                <w:rFonts w:ascii="Arial" w:hAnsi="Arial" w:cs="Arial"/>
                <w:color w:val="FF0000"/>
                <w:sz w:val="22"/>
                <w:szCs w:val="22"/>
              </w:rPr>
              <w:t xml:space="preserve">Access options for </w:t>
            </w:r>
            <w:r w:rsidR="00BB64C4" w:rsidRPr="00BB64C4">
              <w:rPr>
                <w:rFonts w:ascii="Arial" w:hAnsi="Arial" w:cs="Arial"/>
                <w:color w:val="FF0000"/>
                <w:sz w:val="22"/>
                <w:szCs w:val="22"/>
              </w:rPr>
              <w:t xml:space="preserve">external providers to </w:t>
            </w:r>
            <w:r w:rsidRPr="00BB64C4">
              <w:rPr>
                <w:rFonts w:ascii="Arial" w:hAnsi="Arial" w:cs="Arial"/>
                <w:color w:val="FF0000"/>
                <w:sz w:val="22"/>
                <w:szCs w:val="22"/>
              </w:rPr>
              <w:t>SystmOne need to be determined</w:t>
            </w:r>
            <w:r w:rsidR="00BB30B1">
              <w:rPr>
                <w:rFonts w:ascii="Arial" w:hAnsi="Arial" w:cs="Arial"/>
                <w:color w:val="FF0000"/>
                <w:sz w:val="22"/>
                <w:szCs w:val="22"/>
              </w:rPr>
              <w:t xml:space="preserve"> </w:t>
            </w:r>
            <w:r w:rsidR="00ED738C">
              <w:rPr>
                <w:rFonts w:ascii="Arial" w:hAnsi="Arial" w:cs="Arial"/>
                <w:color w:val="FF0000"/>
                <w:sz w:val="22"/>
                <w:szCs w:val="22"/>
              </w:rPr>
              <w:t xml:space="preserve">with the Trust’s IT team </w:t>
            </w:r>
            <w:r w:rsidR="00BB30B1">
              <w:rPr>
                <w:rFonts w:ascii="Arial" w:hAnsi="Arial" w:cs="Arial"/>
                <w:color w:val="FF0000"/>
                <w:sz w:val="22"/>
                <w:szCs w:val="22"/>
              </w:rPr>
              <w:t xml:space="preserve">and </w:t>
            </w:r>
            <w:r w:rsidR="00ED738C">
              <w:rPr>
                <w:rFonts w:ascii="Arial" w:hAnsi="Arial" w:cs="Arial"/>
                <w:color w:val="FF0000"/>
                <w:sz w:val="22"/>
                <w:szCs w:val="22"/>
              </w:rPr>
              <w:t xml:space="preserve">further information will be made available </w:t>
            </w:r>
            <w:r w:rsidR="00C9354C">
              <w:rPr>
                <w:rFonts w:ascii="Arial" w:hAnsi="Arial" w:cs="Arial"/>
                <w:color w:val="FF0000"/>
                <w:sz w:val="22"/>
                <w:szCs w:val="22"/>
              </w:rPr>
              <w:t xml:space="preserve">to bidders </w:t>
            </w:r>
            <w:r w:rsidR="00ED738C">
              <w:rPr>
                <w:rFonts w:ascii="Arial" w:hAnsi="Arial" w:cs="Arial"/>
                <w:color w:val="FF0000"/>
                <w:sz w:val="22"/>
                <w:szCs w:val="22"/>
              </w:rPr>
              <w:t>once this has been confirmed.</w:t>
            </w:r>
          </w:p>
          <w:p w14:paraId="7C84BCC3" w14:textId="77777777" w:rsidR="00AA3442" w:rsidRDefault="00AA3442" w:rsidP="00B65E1D">
            <w:pPr>
              <w:rPr>
                <w:rFonts w:ascii="Arial" w:hAnsi="Arial" w:cs="Arial"/>
                <w:sz w:val="22"/>
                <w:szCs w:val="22"/>
              </w:rPr>
            </w:pPr>
          </w:p>
          <w:p w14:paraId="0B4A8CB0" w14:textId="19F329EB" w:rsidR="00AA3442" w:rsidRDefault="00BB64C4" w:rsidP="00B65E1D">
            <w:pPr>
              <w:rPr>
                <w:rFonts w:ascii="Arial" w:hAnsi="Arial" w:cs="Arial"/>
                <w:b/>
                <w:bCs/>
                <w:sz w:val="22"/>
                <w:szCs w:val="22"/>
              </w:rPr>
            </w:pPr>
            <w:r>
              <w:rPr>
                <w:rFonts w:ascii="Arial" w:hAnsi="Arial" w:cs="Arial"/>
                <w:b/>
                <w:bCs/>
                <w:sz w:val="22"/>
                <w:szCs w:val="22"/>
              </w:rPr>
              <w:t xml:space="preserve">Other </w:t>
            </w:r>
            <w:r w:rsidR="00AA3442">
              <w:rPr>
                <w:rFonts w:ascii="Arial" w:hAnsi="Arial" w:cs="Arial"/>
                <w:b/>
                <w:bCs/>
                <w:sz w:val="22"/>
                <w:szCs w:val="22"/>
              </w:rPr>
              <w:t>Comments</w:t>
            </w:r>
          </w:p>
          <w:p w14:paraId="4603FB8D" w14:textId="77777777" w:rsidR="00AA3442" w:rsidRDefault="00AA3442" w:rsidP="00B65E1D">
            <w:pPr>
              <w:rPr>
                <w:rFonts w:ascii="Arial" w:hAnsi="Arial" w:cs="Arial"/>
                <w:sz w:val="22"/>
                <w:szCs w:val="22"/>
              </w:rPr>
            </w:pPr>
            <w:r>
              <w:rPr>
                <w:rFonts w:ascii="Arial" w:hAnsi="Arial" w:cs="Arial"/>
                <w:b/>
                <w:bCs/>
                <w:sz w:val="22"/>
                <w:szCs w:val="22"/>
              </w:rPr>
              <w:t xml:space="preserve">Inflationary Uplifts </w:t>
            </w:r>
            <w:r w:rsidRPr="000938B9">
              <w:rPr>
                <w:rFonts w:ascii="Arial" w:hAnsi="Arial" w:cs="Arial"/>
                <w:sz w:val="22"/>
                <w:szCs w:val="22"/>
              </w:rPr>
              <w:t>-</w:t>
            </w:r>
            <w:r>
              <w:rPr>
                <w:rFonts w:ascii="Arial" w:hAnsi="Arial" w:cs="Arial"/>
                <w:b/>
                <w:bCs/>
                <w:sz w:val="22"/>
                <w:szCs w:val="22"/>
              </w:rPr>
              <w:t xml:space="preserve"> </w:t>
            </w:r>
            <w:r w:rsidRPr="000938B9">
              <w:rPr>
                <w:rFonts w:ascii="Arial" w:hAnsi="Arial" w:cs="Arial"/>
                <w:sz w:val="22"/>
                <w:szCs w:val="22"/>
              </w:rPr>
              <w:t xml:space="preserve">If staff are transferred under NHS terms and conditions, inflationary uplifts would need to align with pay increases outside of the provider’s control, and this should be acknowledged. </w:t>
            </w:r>
          </w:p>
          <w:p w14:paraId="21D6323B" w14:textId="77777777" w:rsidR="00AA3442" w:rsidRDefault="00AA3442" w:rsidP="00B65E1D">
            <w:pPr>
              <w:rPr>
                <w:rFonts w:ascii="Arial" w:hAnsi="Arial" w:cs="Arial"/>
                <w:sz w:val="22"/>
                <w:szCs w:val="22"/>
              </w:rPr>
            </w:pPr>
          </w:p>
          <w:p w14:paraId="3151CB64" w14:textId="77777777" w:rsidR="00AA3442" w:rsidRDefault="00AA3442" w:rsidP="00B65E1D">
            <w:pPr>
              <w:rPr>
                <w:rFonts w:ascii="Arial" w:hAnsi="Arial" w:cs="Arial"/>
                <w:sz w:val="22"/>
                <w:szCs w:val="22"/>
              </w:rPr>
            </w:pPr>
            <w:r>
              <w:rPr>
                <w:rFonts w:ascii="Arial" w:hAnsi="Arial" w:cs="Arial"/>
                <w:sz w:val="22"/>
                <w:szCs w:val="22"/>
              </w:rPr>
              <w:t xml:space="preserve">When providers with non-clinical staff are uplifted, it doesn’t meet the national living wage impacts for non-clinical staff and that leaves a gap. This will need to be factored into the contract. </w:t>
            </w:r>
          </w:p>
          <w:p w14:paraId="29F47985" w14:textId="77777777" w:rsidR="00AA3442" w:rsidRDefault="00AA3442" w:rsidP="00B65E1D">
            <w:pPr>
              <w:rPr>
                <w:rFonts w:ascii="Arial" w:hAnsi="Arial" w:cs="Arial"/>
                <w:sz w:val="22"/>
                <w:szCs w:val="22"/>
              </w:rPr>
            </w:pPr>
          </w:p>
          <w:p w14:paraId="680FEBEE" w14:textId="4882C0B2" w:rsidR="00BB30B1" w:rsidRDefault="00AA3442" w:rsidP="00B65E1D">
            <w:pPr>
              <w:rPr>
                <w:rFonts w:ascii="Arial" w:hAnsi="Arial" w:cs="Arial"/>
                <w:sz w:val="22"/>
                <w:szCs w:val="22"/>
              </w:rPr>
            </w:pPr>
            <w:r w:rsidRPr="000938B9">
              <w:rPr>
                <w:rFonts w:ascii="Arial" w:hAnsi="Arial" w:cs="Arial"/>
                <w:b/>
                <w:bCs/>
                <w:sz w:val="22"/>
                <w:szCs w:val="22"/>
              </w:rPr>
              <w:t>Lease costs</w:t>
            </w:r>
            <w:r>
              <w:rPr>
                <w:rFonts w:ascii="Arial" w:hAnsi="Arial" w:cs="Arial"/>
                <w:sz w:val="22"/>
                <w:szCs w:val="22"/>
              </w:rPr>
              <w:t xml:space="preserve"> - There is a significant difference in cost between peppercorn and market value.</w:t>
            </w:r>
            <w:r w:rsidRPr="000938B9">
              <w:rPr>
                <w:rFonts w:ascii="Arial" w:hAnsi="Arial" w:cs="Arial"/>
                <w:sz w:val="22"/>
                <w:szCs w:val="22"/>
              </w:rPr>
              <w:t xml:space="preserve"> </w:t>
            </w:r>
            <w:r>
              <w:rPr>
                <w:rFonts w:ascii="Arial" w:hAnsi="Arial" w:cs="Arial"/>
                <w:sz w:val="22"/>
                <w:szCs w:val="22"/>
              </w:rPr>
              <w:t>I</w:t>
            </w:r>
            <w:r w:rsidRPr="000938B9">
              <w:rPr>
                <w:rFonts w:ascii="Arial" w:hAnsi="Arial" w:cs="Arial"/>
                <w:sz w:val="22"/>
                <w:szCs w:val="22"/>
              </w:rPr>
              <w:t xml:space="preserve">f </w:t>
            </w:r>
            <w:r w:rsidR="00BB64C4">
              <w:rPr>
                <w:rFonts w:ascii="Arial" w:hAnsi="Arial" w:cs="Arial"/>
                <w:sz w:val="22"/>
                <w:szCs w:val="22"/>
              </w:rPr>
              <w:t>the lease</w:t>
            </w:r>
            <w:r>
              <w:rPr>
                <w:rFonts w:ascii="Arial" w:hAnsi="Arial" w:cs="Arial"/>
                <w:sz w:val="22"/>
                <w:szCs w:val="22"/>
              </w:rPr>
              <w:t xml:space="preserve"> is </w:t>
            </w:r>
            <w:r w:rsidRPr="000938B9">
              <w:rPr>
                <w:rFonts w:ascii="Arial" w:hAnsi="Arial" w:cs="Arial"/>
                <w:sz w:val="22"/>
                <w:szCs w:val="22"/>
              </w:rPr>
              <w:t>set at market value,</w:t>
            </w:r>
            <w:r>
              <w:rPr>
                <w:rFonts w:ascii="Arial" w:hAnsi="Arial" w:cs="Arial"/>
                <w:sz w:val="22"/>
                <w:szCs w:val="22"/>
              </w:rPr>
              <w:t xml:space="preserve"> this would need to be </w:t>
            </w:r>
            <w:r w:rsidRPr="000938B9">
              <w:rPr>
                <w:rFonts w:ascii="Arial" w:hAnsi="Arial" w:cs="Arial"/>
                <w:sz w:val="22"/>
                <w:szCs w:val="22"/>
              </w:rPr>
              <w:t xml:space="preserve">factored into </w:t>
            </w:r>
            <w:r w:rsidR="00BB64C4">
              <w:rPr>
                <w:rFonts w:ascii="Arial" w:hAnsi="Arial" w:cs="Arial"/>
                <w:sz w:val="22"/>
                <w:szCs w:val="22"/>
              </w:rPr>
              <w:t xml:space="preserve">the </w:t>
            </w:r>
            <w:r w:rsidRPr="000938B9">
              <w:rPr>
                <w:rFonts w:ascii="Arial" w:hAnsi="Arial" w:cs="Arial"/>
                <w:sz w:val="22"/>
                <w:szCs w:val="22"/>
              </w:rPr>
              <w:t xml:space="preserve">provider </w:t>
            </w:r>
            <w:r w:rsidR="00BB64C4">
              <w:rPr>
                <w:rFonts w:ascii="Arial" w:hAnsi="Arial" w:cs="Arial"/>
                <w:sz w:val="22"/>
                <w:szCs w:val="22"/>
              </w:rPr>
              <w:t>contract value</w:t>
            </w:r>
            <w:r w:rsidRPr="000938B9">
              <w:rPr>
                <w:rFonts w:ascii="Arial" w:hAnsi="Arial" w:cs="Arial"/>
                <w:sz w:val="22"/>
                <w:szCs w:val="22"/>
              </w:rPr>
              <w:t>.</w:t>
            </w:r>
          </w:p>
          <w:p w14:paraId="7E3FF9D3" w14:textId="77777777" w:rsidR="00ED738C" w:rsidRDefault="00ED738C" w:rsidP="00B65E1D">
            <w:pPr>
              <w:rPr>
                <w:rFonts w:ascii="Arial" w:hAnsi="Arial" w:cs="Arial"/>
                <w:sz w:val="22"/>
                <w:szCs w:val="22"/>
              </w:rPr>
            </w:pPr>
          </w:p>
          <w:p w14:paraId="472EA0EF" w14:textId="4E0A2DC8" w:rsidR="00ED738C" w:rsidRPr="00C9354C" w:rsidRDefault="00C9354C" w:rsidP="00B65E1D">
            <w:pPr>
              <w:rPr>
                <w:rFonts w:ascii="Arial" w:hAnsi="Arial" w:cs="Arial"/>
                <w:color w:val="FF0000"/>
                <w:sz w:val="22"/>
                <w:szCs w:val="22"/>
              </w:rPr>
            </w:pPr>
            <w:r w:rsidRPr="00C9354C">
              <w:rPr>
                <w:rFonts w:ascii="Arial" w:hAnsi="Arial" w:cs="Arial"/>
                <w:color w:val="FF0000"/>
                <w:sz w:val="22"/>
                <w:szCs w:val="22"/>
              </w:rPr>
              <w:t>The indicative annual contract value is £810k per annum. W</w:t>
            </w:r>
            <w:r w:rsidR="00ED738C" w:rsidRPr="00C9354C">
              <w:rPr>
                <w:rFonts w:ascii="Arial" w:hAnsi="Arial" w:cs="Arial"/>
                <w:color w:val="FF0000"/>
                <w:sz w:val="22"/>
                <w:szCs w:val="22"/>
              </w:rPr>
              <w:t xml:space="preserve">e are proposing for the lease cost to be a </w:t>
            </w:r>
            <w:r w:rsidRPr="00C9354C">
              <w:rPr>
                <w:rFonts w:ascii="Arial" w:hAnsi="Arial" w:cs="Arial"/>
                <w:color w:val="FF0000"/>
                <w:sz w:val="22"/>
                <w:szCs w:val="22"/>
              </w:rPr>
              <w:t>pass-through</w:t>
            </w:r>
            <w:r w:rsidR="00ED738C" w:rsidRPr="00C9354C">
              <w:rPr>
                <w:rFonts w:ascii="Arial" w:hAnsi="Arial" w:cs="Arial"/>
                <w:color w:val="FF0000"/>
                <w:sz w:val="22"/>
                <w:szCs w:val="22"/>
              </w:rPr>
              <w:t xml:space="preserve"> and therefore separate to the contract value.</w:t>
            </w:r>
          </w:p>
          <w:p w14:paraId="46298D70" w14:textId="5BD2F5DA" w:rsidR="00BB30B1" w:rsidRDefault="00BB30B1" w:rsidP="00B65E1D">
            <w:pPr>
              <w:rPr>
                <w:rFonts w:ascii="Arial" w:hAnsi="Arial" w:cs="Arial"/>
                <w:sz w:val="22"/>
                <w:szCs w:val="22"/>
              </w:rPr>
            </w:pPr>
            <w:r>
              <w:rPr>
                <w:rFonts w:ascii="Arial" w:hAnsi="Arial" w:cs="Arial"/>
                <w:sz w:val="22"/>
                <w:szCs w:val="22"/>
              </w:rPr>
              <w:t xml:space="preserve"> </w:t>
            </w:r>
          </w:p>
          <w:p w14:paraId="71EF229E" w14:textId="77777777" w:rsidR="00AA3442" w:rsidRDefault="00AA3442" w:rsidP="00B65E1D">
            <w:pPr>
              <w:rPr>
                <w:rFonts w:ascii="Arial" w:hAnsi="Arial" w:cs="Arial"/>
                <w:sz w:val="22"/>
                <w:szCs w:val="22"/>
              </w:rPr>
            </w:pPr>
            <w:r w:rsidRPr="000938B9">
              <w:rPr>
                <w:rFonts w:ascii="Arial" w:hAnsi="Arial" w:cs="Arial"/>
                <w:b/>
                <w:bCs/>
                <w:sz w:val="22"/>
                <w:szCs w:val="22"/>
              </w:rPr>
              <w:t>Voids</w:t>
            </w:r>
            <w:r w:rsidRPr="000938B9">
              <w:rPr>
                <w:rFonts w:ascii="Arial" w:hAnsi="Arial" w:cs="Arial"/>
                <w:sz w:val="22"/>
                <w:szCs w:val="22"/>
              </w:rPr>
              <w:t xml:space="preserve"> – If the Trust acts as the gatekeeper into the service, voids should not present a significant risk or issue.</w:t>
            </w:r>
          </w:p>
          <w:p w14:paraId="585C5044" w14:textId="512B64BC" w:rsidR="00BB30B1" w:rsidRPr="002212B8" w:rsidRDefault="00BB30B1" w:rsidP="00C9354C">
            <w:pPr>
              <w:rPr>
                <w:rFonts w:ascii="Arial" w:hAnsi="Arial" w:cs="Arial"/>
                <w:sz w:val="22"/>
                <w:szCs w:val="22"/>
              </w:rPr>
            </w:pPr>
          </w:p>
        </w:tc>
      </w:tr>
    </w:tbl>
    <w:p w14:paraId="09F08726" w14:textId="77777777" w:rsidR="009112C9" w:rsidRDefault="009112C9"/>
    <w:sectPr w:rsidR="009112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FD23C4"/>
    <w:multiLevelType w:val="hybridMultilevel"/>
    <w:tmpl w:val="274E4E22"/>
    <w:lvl w:ilvl="0" w:tplc="00A63592">
      <w:start w:val="1"/>
      <w:numFmt w:val="bullet"/>
      <w:lvlText w:val="•"/>
      <w:lvlJc w:val="left"/>
      <w:pPr>
        <w:tabs>
          <w:tab w:val="num" w:pos="720"/>
        </w:tabs>
        <w:ind w:left="720" w:hanging="360"/>
      </w:pPr>
      <w:rPr>
        <w:rFonts w:ascii="Arial" w:hAnsi="Arial" w:hint="default"/>
      </w:rPr>
    </w:lvl>
    <w:lvl w:ilvl="1" w:tplc="8D2684A4" w:tentative="1">
      <w:start w:val="1"/>
      <w:numFmt w:val="bullet"/>
      <w:lvlText w:val="•"/>
      <w:lvlJc w:val="left"/>
      <w:pPr>
        <w:tabs>
          <w:tab w:val="num" w:pos="1440"/>
        </w:tabs>
        <w:ind w:left="1440" w:hanging="360"/>
      </w:pPr>
      <w:rPr>
        <w:rFonts w:ascii="Arial" w:hAnsi="Arial" w:hint="default"/>
      </w:rPr>
    </w:lvl>
    <w:lvl w:ilvl="2" w:tplc="E7A8AD0C" w:tentative="1">
      <w:start w:val="1"/>
      <w:numFmt w:val="bullet"/>
      <w:lvlText w:val="•"/>
      <w:lvlJc w:val="left"/>
      <w:pPr>
        <w:tabs>
          <w:tab w:val="num" w:pos="2160"/>
        </w:tabs>
        <w:ind w:left="2160" w:hanging="360"/>
      </w:pPr>
      <w:rPr>
        <w:rFonts w:ascii="Arial" w:hAnsi="Arial" w:hint="default"/>
      </w:rPr>
    </w:lvl>
    <w:lvl w:ilvl="3" w:tplc="4B124342" w:tentative="1">
      <w:start w:val="1"/>
      <w:numFmt w:val="bullet"/>
      <w:lvlText w:val="•"/>
      <w:lvlJc w:val="left"/>
      <w:pPr>
        <w:tabs>
          <w:tab w:val="num" w:pos="2880"/>
        </w:tabs>
        <w:ind w:left="2880" w:hanging="360"/>
      </w:pPr>
      <w:rPr>
        <w:rFonts w:ascii="Arial" w:hAnsi="Arial" w:hint="default"/>
      </w:rPr>
    </w:lvl>
    <w:lvl w:ilvl="4" w:tplc="B7D8494C" w:tentative="1">
      <w:start w:val="1"/>
      <w:numFmt w:val="bullet"/>
      <w:lvlText w:val="•"/>
      <w:lvlJc w:val="left"/>
      <w:pPr>
        <w:tabs>
          <w:tab w:val="num" w:pos="3600"/>
        </w:tabs>
        <w:ind w:left="3600" w:hanging="360"/>
      </w:pPr>
      <w:rPr>
        <w:rFonts w:ascii="Arial" w:hAnsi="Arial" w:hint="default"/>
      </w:rPr>
    </w:lvl>
    <w:lvl w:ilvl="5" w:tplc="44F62734" w:tentative="1">
      <w:start w:val="1"/>
      <w:numFmt w:val="bullet"/>
      <w:lvlText w:val="•"/>
      <w:lvlJc w:val="left"/>
      <w:pPr>
        <w:tabs>
          <w:tab w:val="num" w:pos="4320"/>
        </w:tabs>
        <w:ind w:left="4320" w:hanging="360"/>
      </w:pPr>
      <w:rPr>
        <w:rFonts w:ascii="Arial" w:hAnsi="Arial" w:hint="default"/>
      </w:rPr>
    </w:lvl>
    <w:lvl w:ilvl="6" w:tplc="77A45FEE" w:tentative="1">
      <w:start w:val="1"/>
      <w:numFmt w:val="bullet"/>
      <w:lvlText w:val="•"/>
      <w:lvlJc w:val="left"/>
      <w:pPr>
        <w:tabs>
          <w:tab w:val="num" w:pos="5040"/>
        </w:tabs>
        <w:ind w:left="5040" w:hanging="360"/>
      </w:pPr>
      <w:rPr>
        <w:rFonts w:ascii="Arial" w:hAnsi="Arial" w:hint="default"/>
      </w:rPr>
    </w:lvl>
    <w:lvl w:ilvl="7" w:tplc="89B80156" w:tentative="1">
      <w:start w:val="1"/>
      <w:numFmt w:val="bullet"/>
      <w:lvlText w:val="•"/>
      <w:lvlJc w:val="left"/>
      <w:pPr>
        <w:tabs>
          <w:tab w:val="num" w:pos="5760"/>
        </w:tabs>
        <w:ind w:left="5760" w:hanging="360"/>
      </w:pPr>
      <w:rPr>
        <w:rFonts w:ascii="Arial" w:hAnsi="Arial" w:hint="default"/>
      </w:rPr>
    </w:lvl>
    <w:lvl w:ilvl="8" w:tplc="B0542E5A" w:tentative="1">
      <w:start w:val="1"/>
      <w:numFmt w:val="bullet"/>
      <w:lvlText w:val="•"/>
      <w:lvlJc w:val="left"/>
      <w:pPr>
        <w:tabs>
          <w:tab w:val="num" w:pos="6480"/>
        </w:tabs>
        <w:ind w:left="6480" w:hanging="360"/>
      </w:pPr>
      <w:rPr>
        <w:rFonts w:ascii="Arial" w:hAnsi="Arial" w:hint="default"/>
      </w:rPr>
    </w:lvl>
  </w:abstractNum>
  <w:num w:numId="1" w16cid:durableId="1501458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442"/>
    <w:rsid w:val="000448D1"/>
    <w:rsid w:val="00087FE9"/>
    <w:rsid w:val="0009155E"/>
    <w:rsid w:val="000E6C6A"/>
    <w:rsid w:val="000F342A"/>
    <w:rsid w:val="00122AD9"/>
    <w:rsid w:val="0022458D"/>
    <w:rsid w:val="0026213C"/>
    <w:rsid w:val="00320ED4"/>
    <w:rsid w:val="0039258E"/>
    <w:rsid w:val="003A7569"/>
    <w:rsid w:val="003B0C32"/>
    <w:rsid w:val="003D022B"/>
    <w:rsid w:val="00453FF4"/>
    <w:rsid w:val="00454807"/>
    <w:rsid w:val="004A67E3"/>
    <w:rsid w:val="00515CAE"/>
    <w:rsid w:val="00660570"/>
    <w:rsid w:val="00691350"/>
    <w:rsid w:val="007044EE"/>
    <w:rsid w:val="007139B5"/>
    <w:rsid w:val="00726A0B"/>
    <w:rsid w:val="007315B8"/>
    <w:rsid w:val="00760D1B"/>
    <w:rsid w:val="0076488F"/>
    <w:rsid w:val="007A6560"/>
    <w:rsid w:val="008E0A75"/>
    <w:rsid w:val="009112C9"/>
    <w:rsid w:val="00956613"/>
    <w:rsid w:val="00971A5F"/>
    <w:rsid w:val="00984563"/>
    <w:rsid w:val="009A1ECA"/>
    <w:rsid w:val="009A41A8"/>
    <w:rsid w:val="00A24CF8"/>
    <w:rsid w:val="00AA3442"/>
    <w:rsid w:val="00B2096F"/>
    <w:rsid w:val="00B316C8"/>
    <w:rsid w:val="00B401E0"/>
    <w:rsid w:val="00B965D5"/>
    <w:rsid w:val="00BB30B1"/>
    <w:rsid w:val="00BB64C4"/>
    <w:rsid w:val="00BF0B1D"/>
    <w:rsid w:val="00C132F9"/>
    <w:rsid w:val="00C33BD7"/>
    <w:rsid w:val="00C9354C"/>
    <w:rsid w:val="00D23B28"/>
    <w:rsid w:val="00D35CCA"/>
    <w:rsid w:val="00D97E8F"/>
    <w:rsid w:val="00E12100"/>
    <w:rsid w:val="00E44267"/>
    <w:rsid w:val="00E73FEE"/>
    <w:rsid w:val="00EB603C"/>
    <w:rsid w:val="00ED559E"/>
    <w:rsid w:val="00ED738C"/>
    <w:rsid w:val="00FC4C51"/>
    <w:rsid w:val="00FE15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52BF0"/>
  <w15:chartTrackingRefBased/>
  <w15:docId w15:val="{3C868A43-A5B8-4816-837E-0A3CB951A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442"/>
    <w:rPr>
      <w:kern w:val="0"/>
      <w14:ligatures w14:val="none"/>
    </w:rPr>
  </w:style>
  <w:style w:type="paragraph" w:styleId="Heading1">
    <w:name w:val="heading 1"/>
    <w:basedOn w:val="Normal"/>
    <w:next w:val="Normal"/>
    <w:link w:val="Heading1Char"/>
    <w:uiPriority w:val="9"/>
    <w:qFormat/>
    <w:rsid w:val="00AA3442"/>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A3442"/>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A3442"/>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A3442"/>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A3442"/>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A3442"/>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A3442"/>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A3442"/>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A3442"/>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4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34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34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34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34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34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34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34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3442"/>
    <w:rPr>
      <w:rFonts w:eastAsiaTheme="majorEastAsia" w:cstheme="majorBidi"/>
      <w:color w:val="272727" w:themeColor="text1" w:themeTint="D8"/>
    </w:rPr>
  </w:style>
  <w:style w:type="paragraph" w:styleId="Title">
    <w:name w:val="Title"/>
    <w:basedOn w:val="Normal"/>
    <w:next w:val="Normal"/>
    <w:link w:val="TitleChar"/>
    <w:uiPriority w:val="10"/>
    <w:qFormat/>
    <w:rsid w:val="00AA344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A34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3442"/>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A34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3442"/>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AA3442"/>
    <w:rPr>
      <w:i/>
      <w:iCs/>
      <w:color w:val="404040" w:themeColor="text1" w:themeTint="BF"/>
    </w:rPr>
  </w:style>
  <w:style w:type="paragraph" w:styleId="ListParagraph">
    <w:name w:val="List Paragraph"/>
    <w:basedOn w:val="Normal"/>
    <w:uiPriority w:val="34"/>
    <w:qFormat/>
    <w:rsid w:val="00AA3442"/>
    <w:pPr>
      <w:ind w:left="720"/>
      <w:contextualSpacing/>
    </w:pPr>
    <w:rPr>
      <w:kern w:val="2"/>
      <w14:ligatures w14:val="standardContextual"/>
    </w:rPr>
  </w:style>
  <w:style w:type="character" w:styleId="IntenseEmphasis">
    <w:name w:val="Intense Emphasis"/>
    <w:basedOn w:val="DefaultParagraphFont"/>
    <w:uiPriority w:val="21"/>
    <w:qFormat/>
    <w:rsid w:val="00AA3442"/>
    <w:rPr>
      <w:i/>
      <w:iCs/>
      <w:color w:val="0F4761" w:themeColor="accent1" w:themeShade="BF"/>
    </w:rPr>
  </w:style>
  <w:style w:type="paragraph" w:styleId="IntenseQuote">
    <w:name w:val="Intense Quote"/>
    <w:basedOn w:val="Normal"/>
    <w:next w:val="Normal"/>
    <w:link w:val="IntenseQuoteChar"/>
    <w:uiPriority w:val="30"/>
    <w:qFormat/>
    <w:rsid w:val="00AA34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A3442"/>
    <w:rPr>
      <w:i/>
      <w:iCs/>
      <w:color w:val="0F4761" w:themeColor="accent1" w:themeShade="BF"/>
    </w:rPr>
  </w:style>
  <w:style w:type="character" w:styleId="IntenseReference">
    <w:name w:val="Intense Reference"/>
    <w:basedOn w:val="DefaultParagraphFont"/>
    <w:uiPriority w:val="32"/>
    <w:qFormat/>
    <w:rsid w:val="00AA3442"/>
    <w:rPr>
      <w:b/>
      <w:bCs/>
      <w:smallCaps/>
      <w:color w:val="0F4761" w:themeColor="accent1" w:themeShade="BF"/>
      <w:spacing w:val="5"/>
    </w:rPr>
  </w:style>
  <w:style w:type="table" w:styleId="TableGrid">
    <w:name w:val="Table Grid"/>
    <w:basedOn w:val="TableNormal"/>
    <w:uiPriority w:val="59"/>
    <w:rsid w:val="00AA3442"/>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60D1B"/>
    <w:rPr>
      <w:sz w:val="16"/>
      <w:szCs w:val="16"/>
    </w:rPr>
  </w:style>
  <w:style w:type="paragraph" w:styleId="CommentText">
    <w:name w:val="annotation text"/>
    <w:basedOn w:val="Normal"/>
    <w:link w:val="CommentTextChar"/>
    <w:uiPriority w:val="99"/>
    <w:unhideWhenUsed/>
    <w:rsid w:val="00760D1B"/>
    <w:pPr>
      <w:spacing w:line="240" w:lineRule="auto"/>
    </w:pPr>
    <w:rPr>
      <w:sz w:val="20"/>
      <w:szCs w:val="20"/>
    </w:rPr>
  </w:style>
  <w:style w:type="character" w:customStyle="1" w:styleId="CommentTextChar">
    <w:name w:val="Comment Text Char"/>
    <w:basedOn w:val="DefaultParagraphFont"/>
    <w:link w:val="CommentText"/>
    <w:uiPriority w:val="99"/>
    <w:rsid w:val="00760D1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60D1B"/>
    <w:rPr>
      <w:b/>
      <w:bCs/>
    </w:rPr>
  </w:style>
  <w:style w:type="character" w:customStyle="1" w:styleId="CommentSubjectChar">
    <w:name w:val="Comment Subject Char"/>
    <w:basedOn w:val="CommentTextChar"/>
    <w:link w:val="CommentSubject"/>
    <w:uiPriority w:val="99"/>
    <w:semiHidden/>
    <w:rsid w:val="00760D1B"/>
    <w:rPr>
      <w:b/>
      <w:bCs/>
      <w:kern w:val="0"/>
      <w:sz w:val="20"/>
      <w:szCs w:val="20"/>
      <w14:ligatures w14:val="none"/>
    </w:rPr>
  </w:style>
  <w:style w:type="paragraph" w:styleId="Revision">
    <w:name w:val="Revision"/>
    <w:hidden/>
    <w:uiPriority w:val="99"/>
    <w:semiHidden/>
    <w:rsid w:val="00C132F9"/>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1254</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Coventry and Warwickshire Partnership Trust</Company>
  <LinksUpToDate>false</LinksUpToDate>
  <CharactersWithSpaces>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Foley Lauren (RYG) C&amp;W PARTNERSHIP TRUST</dc:creator>
  <cp:keywords/>
  <dc:description/>
  <cp:lastModifiedBy>Davies Kevin (RYG) C&amp;W PARTNERSHIP TRUST</cp:lastModifiedBy>
  <cp:revision>3</cp:revision>
  <dcterms:created xsi:type="dcterms:W3CDTF">2026-02-09T10:12:00Z</dcterms:created>
  <dcterms:modified xsi:type="dcterms:W3CDTF">2026-02-09T10:47:00Z</dcterms:modified>
</cp:coreProperties>
</file>