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3200" w:line="276" w:lineRule="auto"/>
        <w:rPr>
          <w:rFonts w:ascii="Arial" w:cs="Arial" w:eastAsia="Arial" w:hAnsi="Arial"/>
          <w:color w:val="000000"/>
          <w:sz w:val="22"/>
          <w:szCs w:val="22"/>
        </w:rPr>
      </w:pPr>
      <w:r w:rsidDel="00000000" w:rsidR="00000000" w:rsidRPr="00000000">
        <w:rPr>
          <w:rtl w:val="0"/>
        </w:rPr>
      </w:r>
    </w:p>
    <w:tbl>
      <w:tblPr>
        <w:tblStyle w:val="Table1"/>
        <w:tblW w:w="10635.0" w:type="dxa"/>
        <w:jc w:val="left"/>
        <w:tblInd w:w="-199.0" w:type="dxa"/>
        <w:tblLayout w:type="fixed"/>
        <w:tblLook w:val="0000"/>
      </w:tblPr>
      <w:tblGrid>
        <w:gridCol w:w="195"/>
        <w:gridCol w:w="10440"/>
        <w:tblGridChange w:id="0">
          <w:tblGrid>
            <w:gridCol w:w="195"/>
            <w:gridCol w:w="10440"/>
          </w:tblGrid>
        </w:tblGridChange>
      </w:tblGrid>
      <w:tr>
        <w:trPr>
          <w:cantSplit w:val="0"/>
          <w:trHeight w:val="4520" w:hRule="atLeast"/>
          <w:tblHeader w:val="0"/>
        </w:trPr>
        <w:tc>
          <w:tcPr>
            <w:shd w:fill="auto" w:val="clear"/>
          </w:tcPr>
          <w:p w:rsidR="00000000" w:rsidDel="00000000" w:rsidP="00000000" w:rsidRDefault="00000000" w:rsidRPr="00000000" w14:paraId="00000002">
            <w:pPr>
              <w:rPr/>
            </w:pPr>
            <w:r w:rsidDel="00000000" w:rsidR="00000000" w:rsidRPr="00000000">
              <w:rPr>
                <w:rtl w:val="0"/>
              </w:rPr>
            </w:r>
          </w:p>
        </w:tc>
        <w:tc>
          <w:tcPr>
            <w:shd w:fill="auto" w:val="clear"/>
          </w:tcPr>
          <w:p w:rsidR="00000000" w:rsidDel="00000000" w:rsidP="00000000" w:rsidRDefault="00000000" w:rsidRPr="00000000" w14:paraId="00000003">
            <w:pPr>
              <w:spacing w:after="120" w:lineRule="auto"/>
              <w:rPr>
                <w:color w:val="005abb"/>
                <w:sz w:val="76"/>
                <w:szCs w:val="76"/>
              </w:rPr>
            </w:pPr>
            <w:bookmarkStart w:colFirst="0" w:colLast="0" w:name="_heading=h.2grqrue" w:id="0"/>
            <w:bookmarkEnd w:id="0"/>
            <w:r w:rsidDel="00000000" w:rsidR="00000000" w:rsidRPr="00000000">
              <w:rPr>
                <w:color w:val="005abb"/>
                <w:sz w:val="76"/>
                <w:szCs w:val="76"/>
                <w:rtl w:val="0"/>
              </w:rPr>
              <w:t xml:space="preserve">Open Procedure </w:t>
            </w:r>
          </w:p>
          <w:p w:rsidR="00000000" w:rsidDel="00000000" w:rsidP="00000000" w:rsidRDefault="00000000" w:rsidRPr="00000000" w14:paraId="00000004">
            <w:pPr>
              <w:spacing w:after="120" w:lineRule="auto"/>
              <w:rPr>
                <w:color w:val="005abb"/>
                <w:sz w:val="60"/>
                <w:szCs w:val="60"/>
              </w:rPr>
            </w:pPr>
            <w:bookmarkStart w:colFirst="0" w:colLast="0" w:name="_heading=h.tnu3a64thtpj" w:id="1"/>
            <w:bookmarkEnd w:id="1"/>
            <w:r w:rsidDel="00000000" w:rsidR="00000000" w:rsidRPr="00000000">
              <w:rPr>
                <w:color w:val="005abb"/>
                <w:sz w:val="60"/>
                <w:szCs w:val="60"/>
                <w:rtl w:val="0"/>
              </w:rPr>
              <w:t xml:space="preserve">(Procurement Act 2023)</w:t>
            </w:r>
          </w:p>
          <w:p w:rsidR="00000000" w:rsidDel="00000000" w:rsidP="00000000" w:rsidRDefault="00000000" w:rsidRPr="00000000" w14:paraId="00000005">
            <w:pPr>
              <w:spacing w:after="240" w:lineRule="auto"/>
              <w:rPr>
                <w:color w:val="005abb"/>
                <w:sz w:val="44"/>
                <w:szCs w:val="44"/>
              </w:rPr>
            </w:pPr>
            <w:r w:rsidDel="00000000" w:rsidR="00000000" w:rsidRPr="00000000">
              <w:rPr>
                <w:color w:val="005abb"/>
                <w:sz w:val="44"/>
                <w:szCs w:val="44"/>
                <w:rtl w:val="0"/>
              </w:rPr>
              <w:t xml:space="preserve">Appendix B: Tender Stage</w:t>
            </w:r>
          </w:p>
          <w:p w:rsidR="00000000" w:rsidDel="00000000" w:rsidP="00000000" w:rsidRDefault="00000000" w:rsidRPr="00000000" w14:paraId="00000006">
            <w:pPr>
              <w:spacing w:after="240" w:lineRule="auto"/>
              <w:rPr>
                <w:color w:val="005abb"/>
                <w:sz w:val="70"/>
                <w:szCs w:val="70"/>
              </w:rPr>
            </w:pPr>
            <w:r w:rsidDel="00000000" w:rsidR="00000000" w:rsidRPr="00000000">
              <w:rPr>
                <w:color w:val="005abb"/>
                <w:sz w:val="70"/>
                <w:szCs w:val="70"/>
                <w:rtl w:val="0"/>
              </w:rPr>
              <w:t xml:space="preserve">Sport &amp; Active Wellness Kit </w:t>
            </w:r>
          </w:p>
          <w:p w:rsidR="00000000" w:rsidDel="00000000" w:rsidP="00000000" w:rsidRDefault="00000000" w:rsidRPr="00000000" w14:paraId="00000007">
            <w:pPr>
              <w:spacing w:after="240" w:lineRule="auto"/>
              <w:rPr>
                <w:b w:val="1"/>
                <w:bCs w:val="1"/>
                <w:color w:val="005abb"/>
                <w:sz w:val="44"/>
                <w:szCs w:val="44"/>
              </w:rPr>
            </w:pPr>
            <w:r w:rsidDel="00000000" w:rsidR="00000000" w:rsidRPr="00000000">
              <w:rPr>
                <w:color w:val="005abb"/>
                <w:sz w:val="44"/>
                <w:szCs w:val="44"/>
                <w:rtl w:val="0"/>
              </w:rPr>
              <w:t xml:space="preserve">Procurement Identifier (OCID): ocds-h6vhtk-05dbb8</w:t>
            </w:r>
            <w:r w:rsidDel="00000000" w:rsidR="00000000" w:rsidRPr="00000000">
              <w:rPr>
                <w:rtl w:val="0"/>
              </w:rPr>
            </w:r>
          </w:p>
          <w:p w:rsidR="00000000" w:rsidDel="00000000" w:rsidP="00000000" w:rsidRDefault="00000000" w:rsidRPr="00000000" w14:paraId="00000008">
            <w:pPr>
              <w:spacing w:after="240" w:lineRule="auto"/>
              <w:rPr>
                <w:color w:val="005abb"/>
                <w:sz w:val="30"/>
                <w:szCs w:val="30"/>
              </w:rPr>
            </w:pPr>
            <w:r w:rsidDel="00000000" w:rsidR="00000000" w:rsidRPr="00000000">
              <w:rPr>
                <w:color w:val="005abb"/>
                <w:sz w:val="30"/>
                <w:szCs w:val="30"/>
                <w:rtl w:val="0"/>
              </w:rPr>
              <w:t xml:space="preserve">Vicky Badger, Category Manager - People and Development Service </w:t>
            </w:r>
          </w:p>
          <w:p w:rsidR="00000000" w:rsidDel="00000000" w:rsidP="00000000" w:rsidRDefault="00000000" w:rsidRPr="00000000" w14:paraId="00000009">
            <w:pPr>
              <w:spacing w:after="240" w:lineRule="auto"/>
              <w:rPr>
                <w:color w:val="005abb"/>
                <w:sz w:val="30"/>
                <w:szCs w:val="30"/>
              </w:rPr>
            </w:pPr>
            <w:r w:rsidDel="00000000" w:rsidR="00000000" w:rsidRPr="00000000">
              <w:rPr>
                <w:rtl w:val="0"/>
              </w:rPr>
            </w:r>
          </w:p>
          <w:p w:rsidR="00000000" w:rsidDel="00000000" w:rsidP="00000000" w:rsidRDefault="00000000" w:rsidRPr="00000000" w14:paraId="0000000A">
            <w:pPr>
              <w:spacing w:after="240" w:lineRule="auto"/>
              <w:rPr>
                <w:color w:val="005abb"/>
                <w:sz w:val="30"/>
                <w:szCs w:val="30"/>
              </w:rPr>
            </w:pPr>
            <w:r w:rsidDel="00000000" w:rsidR="00000000" w:rsidRPr="00000000">
              <w:rPr>
                <w:rtl w:val="0"/>
              </w:rPr>
            </w:r>
          </w:p>
          <w:p w:rsidR="00000000" w:rsidDel="00000000" w:rsidP="00000000" w:rsidRDefault="00000000" w:rsidRPr="00000000" w14:paraId="0000000B">
            <w:pPr>
              <w:spacing w:after="240" w:lineRule="auto"/>
              <w:rPr>
                <w:b w:val="1"/>
                <w:bCs w:val="1"/>
                <w:highlight w:val="yellow"/>
              </w:rPr>
            </w:pPr>
            <w:r w:rsidDel="00000000" w:rsidR="00000000" w:rsidRPr="00000000">
              <w:rPr>
                <w:rtl w:val="0"/>
              </w:rPr>
            </w:r>
          </w:p>
        </w:tc>
      </w:tr>
      <w:tr>
        <w:trPr>
          <w:cantSplit w:val="0"/>
          <w:trHeight w:val="1191" w:hRule="atLeast"/>
          <w:tblHeader w:val="0"/>
        </w:trPr>
        <w:tc>
          <w:tcPr>
            <w:shd w:fill="auto"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highlight w:val="yellow"/>
              </w:rPr>
            </w:pPr>
            <w:r w:rsidDel="00000000" w:rsidR="00000000" w:rsidRPr="00000000">
              <w:rPr>
                <w:rtl w:val="0"/>
              </w:rPr>
            </w:r>
          </w:p>
        </w:tc>
        <w:tc>
          <w:tcPr>
            <w:shd w:fill="auto" w:val="clear"/>
          </w:tcPr>
          <w:p w:rsidR="00000000" w:rsidDel="00000000" w:rsidP="00000000" w:rsidRDefault="00000000" w:rsidRPr="00000000" w14:paraId="0000000D">
            <w:pPr>
              <w:spacing w:after="120" w:lineRule="auto"/>
              <w:rPr>
                <w:color w:val="005abb"/>
                <w:sz w:val="76"/>
                <w:szCs w:val="76"/>
              </w:rPr>
            </w:pPr>
            <w:bookmarkStart w:colFirst="0" w:colLast="0" w:name="_heading=h.2grqrue" w:id="0"/>
            <w:bookmarkEnd w:id="0"/>
            <w:r w:rsidDel="00000000" w:rsidR="00000000" w:rsidRPr="00000000">
              <w:rPr>
                <w:rtl w:val="0"/>
              </w:rPr>
            </w:r>
          </w:p>
        </w:tc>
      </w:tr>
    </w:tbl>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pPr>
      <w:r w:rsidDel="00000000" w:rsidR="00000000" w:rsidRPr="00000000">
        <w:br w:type="page"/>
      </w:r>
      <w:r w:rsidDel="00000000" w:rsidR="00000000" w:rsidRPr="00000000">
        <w:rPr>
          <w:rtl w:val="0"/>
        </w:rPr>
      </w:r>
    </w:p>
    <w:tbl>
      <w:tblPr>
        <w:tblStyle w:val="Table2"/>
        <w:tblW w:w="9512.0" w:type="dxa"/>
        <w:jc w:val="left"/>
        <w:tblBorders>
          <w:bottom w:color="000000" w:space="0" w:sz="4" w:val="single"/>
          <w:insideH w:color="000000" w:space="0" w:sz="4" w:val="single"/>
        </w:tblBorders>
        <w:tblLayout w:type="fixed"/>
        <w:tblLook w:val="0400"/>
      </w:tblPr>
      <w:tblGrid>
        <w:gridCol w:w="1950"/>
        <w:gridCol w:w="2268"/>
        <w:gridCol w:w="1701"/>
        <w:gridCol w:w="3593"/>
        <w:tblGridChange w:id="0">
          <w:tblGrid>
            <w:gridCol w:w="1950"/>
            <w:gridCol w:w="2268"/>
            <w:gridCol w:w="1701"/>
            <w:gridCol w:w="3593"/>
          </w:tblGrid>
        </w:tblGridChange>
      </w:tblGrid>
      <w:tr>
        <w:trPr>
          <w:cantSplit w:val="1"/>
          <w:tblHeader w:val="1"/>
        </w:trPr>
        <w:tc>
          <w:tcPr>
            <w:gridSpan w:val="4"/>
            <w:tcBorders>
              <w:top w:color="000000" w:space="0" w:sz="0" w:val="nil"/>
              <w:bottom w:color="000000" w:space="0" w:sz="0" w:val="nil"/>
            </w:tcBorders>
            <w:shd w:fill="auto" w:val="clear"/>
          </w:tcPr>
          <w:p w:rsidR="00000000" w:rsidDel="00000000" w:rsidP="00000000" w:rsidRDefault="00000000" w:rsidRPr="00000000" w14:paraId="00000010">
            <w:pPr>
              <w:rPr>
                <w:b w:val="1"/>
                <w:bCs w:val="1"/>
              </w:rPr>
            </w:pPr>
            <w:r w:rsidDel="00000000" w:rsidR="00000000" w:rsidRPr="00000000">
              <w:rPr>
                <w:b w:val="1"/>
                <w:bCs w:val="1"/>
                <w:rtl w:val="0"/>
              </w:rPr>
              <w:t xml:space="preserve">Version control</w:t>
            </w:r>
          </w:p>
        </w:tc>
      </w:tr>
      <w:tr>
        <w:trPr>
          <w:cantSplit w:val="1"/>
          <w:tblHeader w:val="0"/>
        </w:trPr>
        <w:tc>
          <w:tcPr>
            <w:tcBorders>
              <w:top w:color="000000" w:space="0" w:sz="0" w:val="nil"/>
            </w:tcBorders>
            <w:shd w:fill="d9ebff" w:val="clear"/>
          </w:tcPr>
          <w:p w:rsidR="00000000" w:rsidDel="00000000" w:rsidP="00000000" w:rsidRDefault="00000000" w:rsidRPr="00000000" w14:paraId="00000014">
            <w:pPr>
              <w:rPr>
                <w:b w:val="1"/>
                <w:bCs w:val="1"/>
              </w:rPr>
            </w:pPr>
            <w:r w:rsidDel="00000000" w:rsidR="00000000" w:rsidRPr="00000000">
              <w:rPr>
                <w:b w:val="1"/>
                <w:bCs w:val="1"/>
                <w:rtl w:val="0"/>
              </w:rPr>
              <w:t xml:space="preserve">Version number</w:t>
            </w:r>
          </w:p>
        </w:tc>
        <w:tc>
          <w:tcPr>
            <w:tcBorders>
              <w:top w:color="000000" w:space="0" w:sz="0" w:val="nil"/>
            </w:tcBorders>
            <w:shd w:fill="d9ebff" w:val="clear"/>
          </w:tcPr>
          <w:p w:rsidR="00000000" w:rsidDel="00000000" w:rsidP="00000000" w:rsidRDefault="00000000" w:rsidRPr="00000000" w14:paraId="00000015">
            <w:pPr>
              <w:rPr>
                <w:b w:val="1"/>
                <w:bCs w:val="1"/>
              </w:rPr>
            </w:pPr>
            <w:r w:rsidDel="00000000" w:rsidR="00000000" w:rsidRPr="00000000">
              <w:rPr>
                <w:b w:val="1"/>
                <w:bCs w:val="1"/>
                <w:rtl w:val="0"/>
              </w:rPr>
              <w:t xml:space="preserve">Author</w:t>
            </w:r>
          </w:p>
        </w:tc>
        <w:tc>
          <w:tcPr>
            <w:tcBorders>
              <w:top w:color="000000" w:space="0" w:sz="0" w:val="nil"/>
            </w:tcBorders>
            <w:shd w:fill="d9ebff" w:val="clear"/>
          </w:tcPr>
          <w:p w:rsidR="00000000" w:rsidDel="00000000" w:rsidP="00000000" w:rsidRDefault="00000000" w:rsidRPr="00000000" w14:paraId="00000016">
            <w:pPr>
              <w:rPr>
                <w:b w:val="1"/>
                <w:bCs w:val="1"/>
              </w:rPr>
            </w:pPr>
            <w:r w:rsidDel="00000000" w:rsidR="00000000" w:rsidRPr="00000000">
              <w:rPr>
                <w:b w:val="1"/>
                <w:bCs w:val="1"/>
                <w:rtl w:val="0"/>
              </w:rPr>
              <w:t xml:space="preserve">Date</w:t>
            </w:r>
          </w:p>
        </w:tc>
        <w:tc>
          <w:tcPr>
            <w:tcBorders>
              <w:top w:color="000000" w:space="0" w:sz="0" w:val="nil"/>
            </w:tcBorders>
            <w:shd w:fill="d9ebff" w:val="clear"/>
          </w:tcPr>
          <w:p w:rsidR="00000000" w:rsidDel="00000000" w:rsidP="00000000" w:rsidRDefault="00000000" w:rsidRPr="00000000" w14:paraId="00000017">
            <w:pPr>
              <w:rPr>
                <w:b w:val="1"/>
                <w:bCs w:val="1"/>
              </w:rPr>
            </w:pPr>
            <w:r w:rsidDel="00000000" w:rsidR="00000000" w:rsidRPr="00000000">
              <w:rPr>
                <w:b w:val="1"/>
                <w:bCs w:val="1"/>
                <w:rtl w:val="0"/>
              </w:rPr>
              <w:t xml:space="preserve">Changes</w:t>
            </w:r>
          </w:p>
        </w:tc>
      </w:tr>
      <w:tr>
        <w:trPr>
          <w:cantSplit w:val="1"/>
          <w:tblHeader w:val="0"/>
        </w:trPr>
        <w:tc>
          <w:tcPr/>
          <w:p w:rsidR="00000000" w:rsidDel="00000000" w:rsidP="00000000" w:rsidRDefault="00000000" w:rsidRPr="00000000" w14:paraId="00000018">
            <w:pPr>
              <w:rPr>
                <w:color w:val="000000"/>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019">
            <w:pPr>
              <w:rPr>
                <w:color w:val="000000"/>
              </w:rPr>
            </w:pPr>
            <w:r w:rsidDel="00000000" w:rsidR="00000000" w:rsidRPr="00000000">
              <w:rPr>
                <w:rtl w:val="0"/>
              </w:rPr>
              <w:t xml:space="preserve">Vicky Badger</w:t>
            </w:r>
            <w:r w:rsidDel="00000000" w:rsidR="00000000" w:rsidRPr="00000000">
              <w:rPr>
                <w:rtl w:val="0"/>
              </w:rPr>
            </w:r>
          </w:p>
        </w:tc>
        <w:tc>
          <w:tcPr/>
          <w:p w:rsidR="00000000" w:rsidDel="00000000" w:rsidP="00000000" w:rsidRDefault="00000000" w:rsidRPr="00000000" w14:paraId="0000001A">
            <w:pPr>
              <w:rPr>
                <w:color w:val="000000"/>
              </w:rPr>
            </w:pPr>
            <w:r w:rsidDel="00000000" w:rsidR="00000000" w:rsidRPr="00000000">
              <w:rPr>
                <w:rtl w:val="0"/>
              </w:rPr>
              <w:t xml:space="preserve">01.12.2025</w:t>
            </w:r>
            <w:r w:rsidDel="00000000" w:rsidR="00000000" w:rsidRPr="00000000">
              <w:rPr>
                <w:rtl w:val="0"/>
              </w:rPr>
            </w:r>
          </w:p>
        </w:tc>
        <w:tc>
          <w:tcPr/>
          <w:p w:rsidR="00000000" w:rsidDel="00000000" w:rsidP="00000000" w:rsidRDefault="00000000" w:rsidRPr="00000000" w14:paraId="0000001B">
            <w:pPr>
              <w:rPr>
                <w:color w:val="000000"/>
              </w:rPr>
            </w:pPr>
            <w:r w:rsidDel="00000000" w:rsidR="00000000" w:rsidRPr="00000000">
              <w:rPr>
                <w:rtl w:val="0"/>
              </w:rPr>
            </w:r>
          </w:p>
        </w:tc>
      </w:tr>
      <w:tr>
        <w:trPr>
          <w:cantSplit w:val="1"/>
          <w:trHeight w:val="264" w:hRule="atLeast"/>
          <w:tblHeader w:val="0"/>
        </w:trPr>
        <w:tc>
          <w:tcPr/>
          <w:p w:rsidR="00000000" w:rsidDel="00000000" w:rsidP="00000000" w:rsidRDefault="00000000" w:rsidRPr="00000000" w14:paraId="0000001C">
            <w:pPr>
              <w:rPr>
                <w:color w:val="000000"/>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01D">
            <w:pPr>
              <w:rPr>
                <w:color w:val="000000"/>
              </w:rPr>
            </w:pPr>
            <w:r w:rsidDel="00000000" w:rsidR="00000000" w:rsidRPr="00000000">
              <w:rPr>
                <w:rtl w:val="0"/>
              </w:rPr>
              <w:t xml:space="preserve">Vicky Badger</w:t>
            </w:r>
            <w:r w:rsidDel="00000000" w:rsidR="00000000" w:rsidRPr="00000000">
              <w:rPr>
                <w:rtl w:val="0"/>
              </w:rPr>
            </w:r>
          </w:p>
        </w:tc>
        <w:tc>
          <w:tcPr/>
          <w:p w:rsidR="00000000" w:rsidDel="00000000" w:rsidP="00000000" w:rsidRDefault="00000000" w:rsidRPr="00000000" w14:paraId="0000001E">
            <w:pPr>
              <w:rPr>
                <w:color w:val="000000"/>
              </w:rPr>
            </w:pPr>
            <w:r w:rsidDel="00000000" w:rsidR="00000000" w:rsidRPr="00000000">
              <w:rPr>
                <w:rtl w:val="0"/>
              </w:rPr>
              <w:t xml:space="preserve">02.02.2026</w:t>
            </w:r>
            <w:r w:rsidDel="00000000" w:rsidR="00000000" w:rsidRPr="00000000">
              <w:rPr>
                <w:rtl w:val="0"/>
              </w:rPr>
            </w:r>
          </w:p>
        </w:tc>
        <w:tc>
          <w:tcPr/>
          <w:p w:rsidR="00000000" w:rsidDel="00000000" w:rsidP="00000000" w:rsidRDefault="00000000" w:rsidRPr="00000000" w14:paraId="0000001F">
            <w:pPr>
              <w:rPr>
                <w:color w:val="000000"/>
              </w:rPr>
            </w:pPr>
            <w:r w:rsidDel="00000000" w:rsidR="00000000" w:rsidRPr="00000000">
              <w:rPr>
                <w:rtl w:val="0"/>
              </w:rPr>
              <w:t xml:space="preserve">Addition of a line of text in staff and student uniform requirements, KPI’s slight change to wording on responsiveness KPI</w:t>
            </w:r>
            <w:r w:rsidDel="00000000" w:rsidR="00000000" w:rsidRPr="00000000">
              <w:rPr>
                <w:rtl w:val="0"/>
              </w:rPr>
            </w:r>
          </w:p>
        </w:tc>
      </w:tr>
      <w:tr>
        <w:trPr>
          <w:cantSplit w:val="1"/>
          <w:trHeight w:val="264" w:hRule="atLeast"/>
          <w:tblHeader w:val="0"/>
        </w:trPr>
        <w:tc>
          <w:tcPr/>
          <w:p w:rsidR="00000000" w:rsidDel="00000000" w:rsidP="00000000" w:rsidRDefault="00000000" w:rsidRPr="00000000" w14:paraId="00000020">
            <w:pPr>
              <w:rPr>
                <w:color w:val="000000"/>
              </w:rPr>
            </w:pPr>
            <w:r w:rsidDel="00000000" w:rsidR="00000000" w:rsidRPr="00000000">
              <w:rPr>
                <w:rtl w:val="0"/>
              </w:rPr>
            </w:r>
          </w:p>
        </w:tc>
        <w:tc>
          <w:tcPr/>
          <w:p w:rsidR="00000000" w:rsidDel="00000000" w:rsidP="00000000" w:rsidRDefault="00000000" w:rsidRPr="00000000" w14:paraId="00000021">
            <w:pPr>
              <w:rPr>
                <w:color w:val="000000"/>
              </w:rPr>
            </w:pPr>
            <w:r w:rsidDel="00000000" w:rsidR="00000000" w:rsidRPr="00000000">
              <w:rPr>
                <w:rtl w:val="0"/>
              </w:rPr>
            </w:r>
          </w:p>
        </w:tc>
        <w:tc>
          <w:tcPr/>
          <w:p w:rsidR="00000000" w:rsidDel="00000000" w:rsidP="00000000" w:rsidRDefault="00000000" w:rsidRPr="00000000" w14:paraId="00000022">
            <w:pPr>
              <w:rPr>
                <w:color w:val="000000"/>
              </w:rPr>
            </w:pPr>
            <w:r w:rsidDel="00000000" w:rsidR="00000000" w:rsidRPr="00000000">
              <w:rPr>
                <w:rtl w:val="0"/>
              </w:rPr>
            </w:r>
          </w:p>
        </w:tc>
        <w:tc>
          <w:tcPr/>
          <w:p w:rsidR="00000000" w:rsidDel="00000000" w:rsidP="00000000" w:rsidRDefault="00000000" w:rsidRPr="00000000" w14:paraId="00000023">
            <w:pPr>
              <w:rPr>
                <w:color w:val="000000"/>
              </w:rPr>
            </w:pPr>
            <w:r w:rsidDel="00000000" w:rsidR="00000000" w:rsidRPr="00000000">
              <w:rPr>
                <w:rtl w:val="0"/>
              </w:rPr>
            </w:r>
          </w:p>
        </w:tc>
      </w:tr>
    </w:tbl>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40" w:lineRule="auto"/>
        <w:rPr>
          <w:rFonts w:ascii="Arial" w:cs="Arial" w:eastAsia="Arial" w:hAnsi="Arial"/>
          <w:color w:val="000000"/>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701" w:left="1134" w:right="1134" w:header="567" w:footer="340"/>
          <w:pgNumType w:start="1"/>
        </w:sectPr>
      </w:pPr>
      <w:r w:rsidDel="00000000" w:rsidR="00000000" w:rsidRPr="00000000">
        <w:rPr>
          <w:rtl w:val="0"/>
        </w:rPr>
      </w:r>
    </w:p>
    <w:p w:rsidR="00000000" w:rsidDel="00000000" w:rsidP="00000000" w:rsidRDefault="00000000" w:rsidRPr="00000000" w14:paraId="00000025">
      <w:pPr>
        <w:pStyle w:val="Heading1"/>
        <w:ind w:left="0" w:firstLine="0"/>
        <w:rPr/>
      </w:pPr>
      <w:bookmarkStart w:colFirst="0" w:colLast="0" w:name="_heading=h.3q5sasy" w:id="2"/>
      <w:bookmarkEnd w:id="2"/>
      <w:r w:rsidDel="00000000" w:rsidR="00000000" w:rsidRPr="00000000">
        <w:rPr>
          <w:rtl w:val="0"/>
        </w:rPr>
        <w:t xml:space="preserve">Appendix B: The University’s Detailed Requirements</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40" w:lineRule="auto"/>
        <w:rPr>
          <w:b w:val="1"/>
          <w:bCs w:val="1"/>
          <w:color w:val="005abb"/>
          <w:sz w:val="32"/>
          <w:szCs w:val="32"/>
        </w:rPr>
      </w:pPr>
      <w:r w:rsidDel="00000000" w:rsidR="00000000" w:rsidRPr="00000000">
        <w:rPr>
          <w:b w:val="1"/>
          <w:bCs w:val="1"/>
          <w:color w:val="005abb"/>
          <w:sz w:val="32"/>
          <w:szCs w:val="32"/>
          <w:rtl w:val="0"/>
        </w:rPr>
        <w:t xml:space="preserve">Specification </w:t>
      </w:r>
    </w:p>
    <w:p w:rsidR="00000000" w:rsidDel="00000000" w:rsidP="00000000" w:rsidRDefault="00000000" w:rsidRPr="00000000" w14:paraId="00000027">
      <w:pPr>
        <w:pStyle w:val="Heading3"/>
        <w:keepNext w:val="0"/>
        <w:keepLines w:val="0"/>
        <w:spacing w:after="80" w:line="276" w:lineRule="auto"/>
        <w:rPr>
          <w:color w:val="000000"/>
          <w:sz w:val="26"/>
          <w:szCs w:val="26"/>
        </w:rPr>
      </w:pPr>
      <w:bookmarkStart w:colFirst="0" w:colLast="0" w:name="_heading=h.82hemkar6qpz" w:id="3"/>
      <w:bookmarkEnd w:id="3"/>
      <w:r w:rsidDel="00000000" w:rsidR="00000000" w:rsidRPr="00000000">
        <w:rPr>
          <w:color w:val="000000"/>
          <w:sz w:val="26"/>
          <w:szCs w:val="26"/>
          <w:rtl w:val="0"/>
        </w:rPr>
        <w:t xml:space="preserve">Introduction and Background</w:t>
      </w:r>
    </w:p>
    <w:p w:rsidR="00000000" w:rsidDel="00000000" w:rsidP="00000000" w:rsidRDefault="00000000" w:rsidRPr="00000000" w14:paraId="00000028">
      <w:pPr>
        <w:pBdr>
          <w:top w:color="auto" w:space="0" w:sz="0" w:val="none"/>
          <w:bottom w:color="auto" w:space="0" w:sz="0" w:val="none"/>
          <w:between w:color="auto" w:space="0" w:sz="0" w:val="none"/>
        </w:pBdr>
        <w:spacing w:after="240" w:line="276" w:lineRule="auto"/>
        <w:rPr>
          <w:sz w:val="22"/>
          <w:szCs w:val="22"/>
        </w:rPr>
      </w:pPr>
      <w:r w:rsidDel="00000000" w:rsidR="00000000" w:rsidRPr="00000000">
        <w:rPr>
          <w:sz w:val="22"/>
          <w:szCs w:val="22"/>
          <w:rtl w:val="0"/>
        </w:rPr>
        <w:t xml:space="preserve">Oxford Brookes University, through its Directorate of Sport &amp; Active Wellness, invites tenders from suitably qualified and experienced suppliers for the establishment of a long-term partnership to supply and manage University-branded sports apparel and merchandise.</w:t>
      </w:r>
    </w:p>
    <w:p w:rsidR="00000000" w:rsidDel="00000000" w:rsidP="00000000" w:rsidRDefault="00000000" w:rsidRPr="00000000" w14:paraId="00000029">
      <w:pPr>
        <w:pBdr>
          <w:top w:color="auto" w:space="0" w:sz="0" w:val="none"/>
          <w:bottom w:color="auto" w:space="0" w:sz="0" w:val="none"/>
          <w:between w:color="auto" w:space="0" w:sz="0" w:val="none"/>
        </w:pBdr>
        <w:spacing w:after="240" w:line="276" w:lineRule="auto"/>
        <w:rPr>
          <w:sz w:val="22"/>
          <w:szCs w:val="22"/>
        </w:rPr>
      </w:pPr>
      <w:r w:rsidDel="00000000" w:rsidR="00000000" w:rsidRPr="00000000">
        <w:rPr>
          <w:sz w:val="22"/>
          <w:szCs w:val="22"/>
          <w:rtl w:val="0"/>
        </w:rPr>
        <w:t xml:space="preserve">The existing contract expired on 31st December 2025. The University requires a new contract to commence from the start of the 2026/27 academic year (September 2026). The contract will be for a minimum period of five (5) years.  The awarded supplier will need to attend University events such as Freshers Week (towards the end of September each year) and arrange ad hoc sample sessions and pop-up shops at the Brookes Centre for Sport &amp; Active Wellness, Sports Fair and Varsity / key BUCS fixture weeks.  </w:t>
      </w:r>
    </w:p>
    <w:p w:rsidR="00000000" w:rsidDel="00000000" w:rsidP="00000000" w:rsidRDefault="00000000" w:rsidRPr="00000000" w14:paraId="0000002A">
      <w:pPr>
        <w:pBdr>
          <w:top w:color="auto" w:space="0" w:sz="0" w:val="none"/>
          <w:bottom w:color="auto" w:space="0" w:sz="0" w:val="none"/>
          <w:between w:color="auto" w:space="0" w:sz="0" w:val="none"/>
        </w:pBdr>
        <w:spacing w:after="240" w:line="276" w:lineRule="auto"/>
        <w:rPr>
          <w:sz w:val="22"/>
          <w:szCs w:val="22"/>
        </w:rPr>
      </w:pPr>
      <w:r w:rsidDel="00000000" w:rsidR="00000000" w:rsidRPr="00000000">
        <w:rPr>
          <w:sz w:val="22"/>
          <w:szCs w:val="22"/>
          <w:rtl w:val="0"/>
        </w:rPr>
        <w:t xml:space="preserve">This procurement aligns with the new Sports Strategy coming into force in early 2026 and a current University rebranding/visual identity project led by our Marketing, Recruitment and Engagement Team. The chosen supplier will be required to work collaboratively on the new visual identity for the Directorate and the University's sporting brand. The core objective is to enhance the University’s profile and brand presence within the Higher Education (HE) environment.</w:t>
      </w:r>
    </w:p>
    <w:p w:rsidR="00000000" w:rsidDel="00000000" w:rsidP="00000000" w:rsidRDefault="00000000" w:rsidRPr="00000000" w14:paraId="0000002B">
      <w:pPr>
        <w:pStyle w:val="Heading3"/>
        <w:keepNext w:val="0"/>
        <w:keepLines w:val="0"/>
        <w:spacing w:after="80" w:line="276" w:lineRule="auto"/>
        <w:rPr>
          <w:b w:val="0"/>
          <w:bCs w:val="0"/>
          <w:color w:val="434343"/>
        </w:rPr>
      </w:pPr>
      <w:bookmarkStart w:colFirst="0" w:colLast="0" w:name="_heading=h.i3a7hkmg8yif" w:id="4"/>
      <w:bookmarkEnd w:id="4"/>
      <w:r w:rsidDel="00000000" w:rsidR="00000000" w:rsidRPr="00000000">
        <w:rPr>
          <w:color w:val="000000"/>
          <w:sz w:val="26"/>
          <w:szCs w:val="26"/>
          <w:rtl w:val="0"/>
        </w:rPr>
        <w:t xml:space="preserve">Customer Base and Estimated Requirements</w:t>
      </w:r>
      <w:r w:rsidDel="00000000" w:rsidR="00000000" w:rsidRPr="00000000">
        <w:rPr>
          <w:rtl w:val="0"/>
        </w:rPr>
      </w:r>
    </w:p>
    <w:p w:rsidR="00000000" w:rsidDel="00000000" w:rsidP="00000000" w:rsidRDefault="00000000" w:rsidRPr="00000000" w14:paraId="0000002C">
      <w:pPr>
        <w:widowControl w:val="0"/>
        <w:rPr>
          <w:sz w:val="22"/>
          <w:szCs w:val="22"/>
        </w:rPr>
      </w:pPr>
      <w:r w:rsidDel="00000000" w:rsidR="00000000" w:rsidRPr="00000000">
        <w:rPr>
          <w:sz w:val="22"/>
          <w:szCs w:val="22"/>
          <w:rtl w:val="0"/>
        </w:rPr>
        <w:t xml:space="preserve">The University has a student population of approximately 17,000 students and over 2800 staff, with approximately </w:t>
      </w:r>
      <w:r w:rsidDel="00000000" w:rsidR="00000000" w:rsidRPr="00000000">
        <w:rPr>
          <w:sz w:val="22"/>
          <w:szCs w:val="22"/>
          <w:rtl w:val="0"/>
        </w:rPr>
        <w:t xml:space="preserve">2500 students (and growing) being members of our 39 sports clubs, and a wider Sport &amp; Active Wellness membership consisting of 6000 </w:t>
      </w:r>
      <w:r w:rsidDel="00000000" w:rsidR="00000000" w:rsidRPr="00000000">
        <w:rPr>
          <w:sz w:val="22"/>
          <w:szCs w:val="22"/>
          <w:rtl w:val="0"/>
        </w:rPr>
        <w:t xml:space="preserve">student, staff and community members accessing a range of our facilities and services. Membership has grown from 2000 students in 2024 to 2500 currently and is expected to continue growing. The awarded supplier will need to be able to service these volumes and accommodate future expansion. </w:t>
      </w:r>
    </w:p>
    <w:p w:rsidR="00000000" w:rsidDel="00000000" w:rsidP="00000000" w:rsidRDefault="00000000" w:rsidRPr="00000000" w14:paraId="0000002D">
      <w:pPr>
        <w:widowControl w:val="0"/>
        <w:rPr>
          <w:sz w:val="22"/>
          <w:szCs w:val="22"/>
        </w:rPr>
      </w:pPr>
      <w:r w:rsidDel="00000000" w:rsidR="00000000" w:rsidRPr="00000000">
        <w:rPr>
          <w:rtl w:val="0"/>
        </w:rPr>
      </w:r>
    </w:p>
    <w:p w:rsidR="00000000" w:rsidDel="00000000" w:rsidP="00000000" w:rsidRDefault="00000000" w:rsidRPr="00000000" w14:paraId="0000002E">
      <w:pPr>
        <w:pStyle w:val="Heading4"/>
        <w:spacing w:after="40" w:line="276" w:lineRule="auto"/>
        <w:ind w:left="0" w:firstLine="0"/>
        <w:rPr>
          <w:color w:val="000000"/>
          <w:sz w:val="22"/>
          <w:szCs w:val="22"/>
        </w:rPr>
      </w:pPr>
      <w:bookmarkStart w:colFirst="0" w:colLast="0" w:name="_heading=h.fmlh8od89ntf" w:id="5"/>
      <w:bookmarkEnd w:id="5"/>
      <w:r w:rsidDel="00000000" w:rsidR="00000000" w:rsidRPr="00000000">
        <w:rPr>
          <w:color w:val="000000"/>
          <w:sz w:val="22"/>
          <w:szCs w:val="22"/>
          <w:rtl w:val="0"/>
        </w:rPr>
        <w:t xml:space="preserve">Student Sports Club Kit Requirements</w:t>
      </w:r>
    </w:p>
    <w:p w:rsidR="00000000" w:rsidDel="00000000" w:rsidP="00000000" w:rsidRDefault="00000000" w:rsidRPr="00000000" w14:paraId="0000002F">
      <w:pPr>
        <w:spacing w:after="240" w:line="276" w:lineRule="auto"/>
        <w:rPr>
          <w:sz w:val="22"/>
          <w:szCs w:val="22"/>
        </w:rPr>
      </w:pPr>
      <w:r w:rsidDel="00000000" w:rsidR="00000000" w:rsidRPr="00000000">
        <w:rPr>
          <w:sz w:val="22"/>
          <w:szCs w:val="22"/>
          <w:rtl w:val="0"/>
        </w:rPr>
        <w:t xml:space="preserve">The initial bulk order for the 2026/27 season is estimated to replace existing kits only. All playing apparel must be sports-specific in design and material to maximise athletic performance.  </w:t>
      </w:r>
      <w:r w:rsidDel="00000000" w:rsidR="00000000" w:rsidRPr="00000000">
        <w:rPr>
          <w:sz w:val="22"/>
          <w:szCs w:val="22"/>
          <w:rtl w:val="0"/>
        </w:rPr>
        <w:t xml:space="preserve">This requirement may change at the University’s discretion during the life of the contract.  </w:t>
      </w:r>
      <w:r w:rsidDel="00000000" w:rsidR="00000000" w:rsidRPr="00000000">
        <w:rPr>
          <w:rtl w:val="0"/>
        </w:rPr>
      </w:r>
    </w:p>
    <w:sdt>
      <w:sdtPr>
        <w:lock w:val="contentLocked"/>
        <w:id w:val="572487086"/>
        <w:tag w:val="goog_rdk_0"/>
      </w:sdtPr>
      <w:sdtContent>
        <w:tbl>
          <w:tblPr>
            <w:tblStyle w:val="Table3"/>
            <w:tblW w:w="99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1965"/>
            <w:gridCol w:w="6045"/>
            <w:tblGridChange w:id="0">
              <w:tblGrid>
                <w:gridCol w:w="1965"/>
                <w:gridCol w:w="1965"/>
                <w:gridCol w:w="6045"/>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30">
                <w:pPr>
                  <w:widowControl w:val="0"/>
                  <w:rPr>
                    <w:b w:val="1"/>
                    <w:bCs w:val="1"/>
                    <w:sz w:val="22"/>
                    <w:szCs w:val="22"/>
                  </w:rPr>
                </w:pPr>
                <w:r w:rsidDel="00000000" w:rsidR="00000000" w:rsidRPr="00000000">
                  <w:rPr>
                    <w:b w:val="1"/>
                    <w:bCs w:val="1"/>
                    <w:sz w:val="22"/>
                    <w:szCs w:val="22"/>
                    <w:rtl w:val="0"/>
                  </w:rPr>
                  <w:t xml:space="preserve">Item Type</w:t>
                </w:r>
              </w:p>
              <w:p w:rsidR="00000000" w:rsidDel="00000000" w:rsidP="00000000" w:rsidRDefault="00000000" w:rsidRPr="00000000" w14:paraId="00000031">
                <w:pPr>
                  <w:widowControl w:val="0"/>
                  <w:rPr>
                    <w:b w:val="1"/>
                    <w:bCs w:val="1"/>
                    <w:sz w:val="22"/>
                    <w:szCs w:val="22"/>
                  </w:rPr>
                </w:pPr>
                <w:r w:rsidDel="00000000" w:rsidR="00000000" w:rsidRPr="00000000">
                  <w:rPr>
                    <w:rtl w:val="0"/>
                  </w:rPr>
                </w:r>
              </w:p>
              <w:p w:rsidR="00000000" w:rsidDel="00000000" w:rsidP="00000000" w:rsidRDefault="00000000" w:rsidRPr="00000000" w14:paraId="00000032">
                <w:pPr>
                  <w:widowControl w:val="0"/>
                  <w:rPr>
                    <w:b w:val="1"/>
                    <w:bCs w:val="1"/>
                    <w:sz w:val="22"/>
                    <w:szCs w:val="22"/>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33">
                <w:pPr>
                  <w:widowControl w:val="0"/>
                  <w:rPr>
                    <w:b w:val="1"/>
                    <w:bCs w:val="1"/>
                    <w:sz w:val="22"/>
                    <w:szCs w:val="22"/>
                  </w:rPr>
                </w:pPr>
                <w:r w:rsidDel="00000000" w:rsidR="00000000" w:rsidRPr="00000000">
                  <w:rPr>
                    <w:b w:val="1"/>
                    <w:bCs w:val="1"/>
                    <w:sz w:val="22"/>
                    <w:szCs w:val="22"/>
                    <w:rtl w:val="0"/>
                  </w:rPr>
                  <w:t xml:space="preserve">Estimated Quantity (2026/27 Initial Bulk Order)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34">
                <w:pPr>
                  <w:widowControl w:val="0"/>
                  <w:rPr>
                    <w:b w:val="1"/>
                    <w:bCs w:val="1"/>
                    <w:sz w:val="22"/>
                    <w:szCs w:val="22"/>
                  </w:rPr>
                </w:pPr>
                <w:r w:rsidDel="00000000" w:rsidR="00000000" w:rsidRPr="00000000">
                  <w:rPr>
                    <w:b w:val="1"/>
                    <w:bCs w:val="1"/>
                    <w:sz w:val="22"/>
                    <w:szCs w:val="22"/>
                    <w:rtl w:val="0"/>
                  </w:rPr>
                  <w:t xml:space="preserve">Specific Requirements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rPr>
                    <w:sz w:val="22"/>
                    <w:szCs w:val="22"/>
                  </w:rPr>
                </w:pPr>
                <w:r w:rsidDel="00000000" w:rsidR="00000000" w:rsidRPr="00000000">
                  <w:rPr>
                    <w:sz w:val="22"/>
                    <w:szCs w:val="22"/>
                    <w:rtl w:val="0"/>
                  </w:rPr>
                  <w:t xml:space="preserve">Playing Tops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rPr>
                    <w:sz w:val="22"/>
                    <w:szCs w:val="22"/>
                  </w:rPr>
                </w:pPr>
                <w:r w:rsidDel="00000000" w:rsidR="00000000" w:rsidRPr="00000000">
                  <w:rPr>
                    <w:sz w:val="22"/>
                    <w:szCs w:val="22"/>
                    <w:rtl w:val="0"/>
                  </w:rPr>
                  <w:t xml:space="preserve">1,069 Home Kits, 394 Away Kits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rPr>
                    <w:sz w:val="22"/>
                    <w:szCs w:val="22"/>
                  </w:rPr>
                </w:pPr>
                <w:r w:rsidDel="00000000" w:rsidR="00000000" w:rsidRPr="00000000">
                  <w:rPr>
                    <w:sz w:val="22"/>
                    <w:szCs w:val="22"/>
                    <w:rtl w:val="0"/>
                  </w:rPr>
                  <w:t xml:space="preserve">Mix of collared, crew neck, and singlets, plus sport-specific variants (e.g., netball dresses, American Football, cricket).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rPr>
                    <w:sz w:val="22"/>
                    <w:szCs w:val="22"/>
                  </w:rPr>
                </w:pPr>
                <w:r w:rsidDel="00000000" w:rsidR="00000000" w:rsidRPr="00000000">
                  <w:rPr>
                    <w:sz w:val="22"/>
                    <w:szCs w:val="22"/>
                    <w:rtl w:val="0"/>
                  </w:rPr>
                  <w:t xml:space="preserve">Shorts/Skorts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rPr>
                    <w:sz w:val="22"/>
                    <w:szCs w:val="22"/>
                  </w:rPr>
                </w:pPr>
                <w:r w:rsidDel="00000000" w:rsidR="00000000" w:rsidRPr="00000000">
                  <w:rPr>
                    <w:sz w:val="22"/>
                    <w:szCs w:val="22"/>
                    <w:rtl w:val="0"/>
                  </w:rPr>
                  <w:t xml:space="preserve">Equivalent quantities (approx. 1,463)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rPr>
                    <w:sz w:val="22"/>
                    <w:szCs w:val="22"/>
                  </w:rPr>
                </w:pPr>
                <w:r w:rsidDel="00000000" w:rsidR="00000000" w:rsidRPr="00000000">
                  <w:rPr>
                    <w:sz w:val="22"/>
                    <w:szCs w:val="22"/>
                    <w:rtl w:val="0"/>
                  </w:rPr>
                  <w:t xml:space="preserve">To be stocked items for individual purchase. Must include specific rugby shorts.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rPr>
                    <w:sz w:val="22"/>
                    <w:szCs w:val="22"/>
                  </w:rPr>
                </w:pPr>
                <w:r w:rsidDel="00000000" w:rsidR="00000000" w:rsidRPr="00000000">
                  <w:rPr>
                    <w:sz w:val="22"/>
                    <w:szCs w:val="22"/>
                    <w:rtl w:val="0"/>
                  </w:rPr>
                  <w:t xml:space="preserve">Socks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rPr>
                    <w:sz w:val="22"/>
                    <w:szCs w:val="22"/>
                  </w:rPr>
                </w:pPr>
                <w:r w:rsidDel="00000000" w:rsidR="00000000" w:rsidRPr="00000000">
                  <w:rPr>
                    <w:sz w:val="22"/>
                    <w:szCs w:val="22"/>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rPr>
                    <w:sz w:val="22"/>
                    <w:szCs w:val="22"/>
                  </w:rPr>
                </w:pPr>
                <w:r w:rsidDel="00000000" w:rsidR="00000000" w:rsidRPr="00000000">
                  <w:rPr>
                    <w:sz w:val="22"/>
                    <w:szCs w:val="22"/>
                    <w:rtl w:val="0"/>
                  </w:rPr>
                  <w:t xml:space="preserve">To be stocked items for individual purchase.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rPr>
                    <w:sz w:val="22"/>
                    <w:szCs w:val="22"/>
                  </w:rPr>
                </w:pPr>
                <w:r w:rsidDel="00000000" w:rsidR="00000000" w:rsidRPr="00000000">
                  <w:rPr>
                    <w:sz w:val="22"/>
                    <w:szCs w:val="22"/>
                    <w:rtl w:val="0"/>
                  </w:rPr>
                  <w:t xml:space="preserve">Other Kit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rPr>
                    <w:sz w:val="22"/>
                    <w:szCs w:val="22"/>
                  </w:rPr>
                </w:pPr>
                <w:r w:rsidDel="00000000" w:rsidR="00000000" w:rsidRPr="00000000">
                  <w:rPr>
                    <w:sz w:val="22"/>
                    <w:szCs w:val="22"/>
                    <w:rtl w:val="0"/>
                  </w:rPr>
                  <w:t xml:space="preserve">Optional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rPr>
                    <w:sz w:val="22"/>
                    <w:szCs w:val="22"/>
                  </w:rPr>
                </w:pPr>
                <w:r w:rsidDel="00000000" w:rsidR="00000000" w:rsidRPr="00000000">
                  <w:rPr>
                    <w:sz w:val="22"/>
                    <w:szCs w:val="22"/>
                    <w:rtl w:val="0"/>
                  </w:rPr>
                  <w:t xml:space="preserve">Off-field teamwear available for individual purchase and customisation (e.g., club-specific names/logos).</w:t>
                </w:r>
              </w:p>
            </w:tc>
          </w:tr>
        </w:tbl>
      </w:sdtContent>
    </w:sdt>
    <w:p w:rsidR="00000000" w:rsidDel="00000000" w:rsidP="00000000" w:rsidRDefault="00000000" w:rsidRPr="00000000" w14:paraId="00000041">
      <w:pPr>
        <w:spacing w:after="240" w:before="240" w:lineRule="auto"/>
        <w:rPr>
          <w:sz w:val="22"/>
          <w:szCs w:val="22"/>
        </w:rPr>
      </w:pPr>
      <w:r w:rsidDel="00000000" w:rsidR="00000000" w:rsidRPr="00000000">
        <w:rPr>
          <w:b w:val="1"/>
          <w:bCs w:val="1"/>
          <w:sz w:val="22"/>
          <w:szCs w:val="22"/>
          <w:rtl w:val="0"/>
        </w:rPr>
        <w:t xml:space="preserve">Customisation:</w:t>
      </w:r>
      <w:r w:rsidDel="00000000" w:rsidR="00000000" w:rsidRPr="00000000">
        <w:rPr>
          <w:sz w:val="22"/>
          <w:szCs w:val="22"/>
          <w:rtl w:val="0"/>
        </w:rPr>
        <w:t xml:space="preserve"> Playing tops must have the ability to be customised with the player's name on the back if purchased by the individual.  A desirable inclusion would be to have a system in place to ensure that if students purchase a playing kit directly from you with personalisation on, that there is a method in which you can ensure there is no duplication of player numbers on shirts.  </w:t>
      </w:r>
    </w:p>
    <w:p w:rsidR="00000000" w:rsidDel="00000000" w:rsidP="00000000" w:rsidRDefault="00000000" w:rsidRPr="00000000" w14:paraId="00000042">
      <w:pPr>
        <w:spacing w:after="240" w:before="240" w:lineRule="auto"/>
        <w:rPr>
          <w:sz w:val="22"/>
          <w:szCs w:val="22"/>
        </w:rPr>
      </w:pPr>
      <w:r w:rsidDel="00000000" w:rsidR="00000000" w:rsidRPr="00000000">
        <w:rPr>
          <w:b w:val="1"/>
          <w:bCs w:val="1"/>
          <w:sz w:val="22"/>
          <w:szCs w:val="22"/>
          <w:rtl w:val="0"/>
        </w:rPr>
        <w:t xml:space="preserve">Table 1: Detailed Sports Club Apparel Requirements (2024/25 Member Numbers as Guide)</w:t>
      </w:r>
      <w:r w:rsidDel="00000000" w:rsidR="00000000" w:rsidRPr="00000000">
        <w:rPr>
          <w:sz w:val="22"/>
          <w:szCs w:val="22"/>
          <w:rtl w:val="0"/>
        </w:rPr>
        <w:t xml:space="preserve"> </w:t>
      </w:r>
      <w:r w:rsidDel="00000000" w:rsidR="00000000" w:rsidRPr="00000000">
        <w:rPr>
          <w:i w:val="1"/>
          <w:iCs w:val="1"/>
          <w:sz w:val="22"/>
          <w:szCs w:val="22"/>
          <w:rtl w:val="0"/>
        </w:rPr>
        <w:t xml:space="preserve">(The supplier must confirm the ability to provide kit for </w:t>
      </w:r>
      <w:r w:rsidDel="00000000" w:rsidR="00000000" w:rsidRPr="00000000">
        <w:rPr>
          <w:b w:val="1"/>
          <w:bCs w:val="1"/>
          <w:i w:val="1"/>
          <w:iCs w:val="1"/>
          <w:sz w:val="22"/>
          <w:szCs w:val="22"/>
          <w:rtl w:val="0"/>
        </w:rPr>
        <w:t xml:space="preserve">all </w:t>
      </w:r>
      <w:r w:rsidDel="00000000" w:rsidR="00000000" w:rsidRPr="00000000">
        <w:rPr>
          <w:i w:val="1"/>
          <w:iCs w:val="1"/>
          <w:sz w:val="22"/>
          <w:szCs w:val="22"/>
          <w:rtl w:val="0"/>
        </w:rPr>
        <w:t xml:space="preserve">of  the</w:t>
      </w:r>
      <w:r w:rsidDel="00000000" w:rsidR="00000000" w:rsidRPr="00000000">
        <w:rPr>
          <w:b w:val="1"/>
          <w:bCs w:val="1"/>
          <w:i w:val="1"/>
          <w:iCs w:val="1"/>
          <w:sz w:val="22"/>
          <w:szCs w:val="22"/>
          <w:rtl w:val="0"/>
        </w:rPr>
        <w:t xml:space="preserve"> </w:t>
      </w:r>
      <w:r w:rsidDel="00000000" w:rsidR="00000000" w:rsidRPr="00000000">
        <w:rPr>
          <w:i w:val="1"/>
          <w:iCs w:val="1"/>
          <w:sz w:val="22"/>
          <w:szCs w:val="22"/>
          <w:rtl w:val="0"/>
        </w:rPr>
        <w:t xml:space="preserve">sports listed below, however, that can be by outsourcing if required.  </w:t>
      </w:r>
      <w:r w:rsidDel="00000000" w:rsidR="00000000" w:rsidRPr="00000000">
        <w:rPr>
          <w:rtl w:val="0"/>
        </w:rPr>
      </w:r>
    </w:p>
    <w:tbl>
      <w:tblPr>
        <w:tblStyle w:val="Table4"/>
        <w:tblW w:w="99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2130"/>
        <w:gridCol w:w="4860"/>
        <w:tblGridChange w:id="0">
          <w:tblGrid>
            <w:gridCol w:w="3000"/>
            <w:gridCol w:w="2130"/>
            <w:gridCol w:w="486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fe2f3" w:val="clear"/>
            <w:tcMar>
              <w:top w:w="40.0" w:type="dxa"/>
              <w:left w:w="40.0" w:type="dxa"/>
              <w:bottom w:w="40.0" w:type="dxa"/>
              <w:right w:w="40.0" w:type="dxa"/>
            </w:tcMar>
            <w:vAlign w:val="top"/>
          </w:tcPr>
          <w:p w:rsidR="00000000" w:rsidDel="00000000" w:rsidP="00000000" w:rsidRDefault="00000000" w:rsidRPr="00000000" w14:paraId="00000043">
            <w:pPr>
              <w:widowControl w:val="0"/>
              <w:spacing w:line="276" w:lineRule="auto"/>
              <w:jc w:val="center"/>
              <w:rPr>
                <w:sz w:val="20"/>
                <w:szCs w:val="20"/>
              </w:rPr>
            </w:pPr>
            <w:r w:rsidDel="00000000" w:rsidR="00000000" w:rsidRPr="00000000">
              <w:rPr>
                <w:b w:val="1"/>
                <w:bCs w:val="1"/>
                <w:sz w:val="22"/>
                <w:szCs w:val="22"/>
                <w:rtl w:val="0"/>
              </w:rPr>
              <w:t xml:space="preserve">Sports Club</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cfe2f3" w:val="clear"/>
            <w:tcMar>
              <w:top w:w="40.0" w:type="dxa"/>
              <w:left w:w="40.0" w:type="dxa"/>
              <w:bottom w:w="40.0" w:type="dxa"/>
              <w:right w:w="40.0" w:type="dxa"/>
            </w:tcMar>
            <w:vAlign w:val="top"/>
          </w:tcPr>
          <w:p w:rsidR="00000000" w:rsidDel="00000000" w:rsidP="00000000" w:rsidRDefault="00000000" w:rsidRPr="00000000" w14:paraId="00000044">
            <w:pPr>
              <w:widowControl w:val="0"/>
              <w:spacing w:line="276" w:lineRule="auto"/>
              <w:jc w:val="center"/>
              <w:rPr>
                <w:sz w:val="20"/>
                <w:szCs w:val="20"/>
              </w:rPr>
            </w:pPr>
            <w:r w:rsidDel="00000000" w:rsidR="00000000" w:rsidRPr="00000000">
              <w:rPr>
                <w:b w:val="1"/>
                <w:bCs w:val="1"/>
                <w:sz w:val="22"/>
                <w:szCs w:val="22"/>
                <w:rtl w:val="0"/>
              </w:rPr>
              <w:t xml:space="preserve">No. of Members (2024/25)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cfe2f3" w:val="clear"/>
            <w:tcMar>
              <w:top w:w="40.0" w:type="dxa"/>
              <w:left w:w="40.0" w:type="dxa"/>
              <w:bottom w:w="40.0" w:type="dxa"/>
              <w:right w:w="40.0" w:type="dxa"/>
            </w:tcMar>
            <w:vAlign w:val="top"/>
          </w:tcPr>
          <w:p w:rsidR="00000000" w:rsidDel="00000000" w:rsidP="00000000" w:rsidRDefault="00000000" w:rsidRPr="00000000" w14:paraId="00000045">
            <w:pPr>
              <w:widowControl w:val="0"/>
              <w:spacing w:line="276" w:lineRule="auto"/>
              <w:jc w:val="center"/>
              <w:rPr>
                <w:sz w:val="20"/>
                <w:szCs w:val="20"/>
              </w:rPr>
            </w:pPr>
            <w:r w:rsidDel="00000000" w:rsidR="00000000" w:rsidRPr="00000000">
              <w:rPr>
                <w:b w:val="1"/>
                <w:bCs w:val="1"/>
                <w:sz w:val="22"/>
                <w:szCs w:val="22"/>
                <w:rtl w:val="0"/>
              </w:rPr>
              <w:t xml:space="preserve">Apparel Requirements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spacing w:line="276" w:lineRule="auto"/>
              <w:rPr>
                <w:sz w:val="20"/>
                <w:szCs w:val="20"/>
              </w:rPr>
            </w:pPr>
            <w:r w:rsidDel="00000000" w:rsidR="00000000" w:rsidRPr="00000000">
              <w:rPr>
                <w:sz w:val="22"/>
                <w:szCs w:val="22"/>
                <w:rtl w:val="0"/>
              </w:rPr>
              <w:t xml:space="preserve">American Football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spacing w:line="276" w:lineRule="auto"/>
              <w:jc w:val="center"/>
              <w:rPr>
                <w:sz w:val="20"/>
                <w:szCs w:val="20"/>
              </w:rPr>
            </w:pPr>
            <w:r w:rsidDel="00000000" w:rsidR="00000000" w:rsidRPr="00000000">
              <w:rPr>
                <w:sz w:val="22"/>
                <w:szCs w:val="22"/>
                <w:rtl w:val="0"/>
              </w:rPr>
              <w:t xml:space="preserve">54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spacing w:line="276" w:lineRule="auto"/>
              <w:rPr>
                <w:sz w:val="20"/>
                <w:szCs w:val="20"/>
              </w:rPr>
            </w:pPr>
            <w:r w:rsidDel="00000000" w:rsidR="00000000" w:rsidRPr="00000000">
              <w:rPr>
                <w:sz w:val="22"/>
                <w:szCs w:val="22"/>
                <w:rtl w:val="0"/>
              </w:rPr>
              <w:t xml:space="preserve">40× Home Jerseys, 40×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spacing w:line="276" w:lineRule="auto"/>
              <w:rPr>
                <w:sz w:val="20"/>
                <w:szCs w:val="20"/>
              </w:rPr>
            </w:pPr>
            <w:r w:rsidDel="00000000" w:rsidR="00000000" w:rsidRPr="00000000">
              <w:rPr>
                <w:sz w:val="22"/>
                <w:szCs w:val="22"/>
                <w:rtl w:val="0"/>
              </w:rPr>
              <w:t xml:space="preserve">Athletics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spacing w:line="276" w:lineRule="auto"/>
              <w:jc w:val="center"/>
              <w:rPr>
                <w:sz w:val="20"/>
                <w:szCs w:val="20"/>
              </w:rPr>
            </w:pPr>
            <w:r w:rsidDel="00000000" w:rsidR="00000000" w:rsidRPr="00000000">
              <w:rPr>
                <w:sz w:val="22"/>
                <w:szCs w:val="22"/>
                <w:rtl w:val="0"/>
              </w:rPr>
              <w:t xml:space="preserve">82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spacing w:line="276" w:lineRule="auto"/>
              <w:rPr>
                <w:sz w:val="20"/>
                <w:szCs w:val="20"/>
              </w:rPr>
            </w:pPr>
            <w:r w:rsidDel="00000000" w:rsidR="00000000" w:rsidRPr="00000000">
              <w:rPr>
                <w:sz w:val="22"/>
                <w:szCs w:val="22"/>
                <w:rtl w:val="0"/>
              </w:rPr>
              <w:t xml:space="preserve">30× Singlets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spacing w:line="276" w:lineRule="auto"/>
              <w:rPr>
                <w:sz w:val="20"/>
                <w:szCs w:val="20"/>
              </w:rPr>
            </w:pPr>
            <w:r w:rsidDel="00000000" w:rsidR="00000000" w:rsidRPr="00000000">
              <w:rPr>
                <w:sz w:val="22"/>
                <w:szCs w:val="22"/>
                <w:rtl w:val="0"/>
              </w:rPr>
              <w:t xml:space="preserve">Badminton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spacing w:line="276" w:lineRule="auto"/>
              <w:jc w:val="center"/>
              <w:rPr>
                <w:sz w:val="20"/>
                <w:szCs w:val="20"/>
              </w:rPr>
            </w:pPr>
            <w:r w:rsidDel="00000000" w:rsidR="00000000" w:rsidRPr="00000000">
              <w:rPr>
                <w:sz w:val="22"/>
                <w:szCs w:val="22"/>
                <w:rtl w:val="0"/>
              </w:rPr>
              <w:t xml:space="preserve">65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spacing w:line="276" w:lineRule="auto"/>
              <w:rPr>
                <w:sz w:val="20"/>
                <w:szCs w:val="20"/>
              </w:rPr>
            </w:pPr>
            <w:r w:rsidDel="00000000" w:rsidR="00000000" w:rsidRPr="00000000">
              <w:rPr>
                <w:sz w:val="22"/>
                <w:szCs w:val="22"/>
                <w:rtl w:val="0"/>
              </w:rPr>
              <w:t xml:space="preserve">16× Home Jerseys, 16×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spacing w:line="276" w:lineRule="auto"/>
              <w:rPr>
                <w:sz w:val="20"/>
                <w:szCs w:val="20"/>
              </w:rPr>
            </w:pPr>
            <w:r w:rsidDel="00000000" w:rsidR="00000000" w:rsidRPr="00000000">
              <w:rPr>
                <w:sz w:val="22"/>
                <w:szCs w:val="22"/>
                <w:rtl w:val="0"/>
              </w:rPr>
              <w:t xml:space="preserve">Basketball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spacing w:line="276" w:lineRule="auto"/>
              <w:jc w:val="center"/>
              <w:rPr>
                <w:sz w:val="20"/>
                <w:szCs w:val="20"/>
              </w:rPr>
            </w:pPr>
            <w:r w:rsidDel="00000000" w:rsidR="00000000" w:rsidRPr="00000000">
              <w:rPr>
                <w:sz w:val="22"/>
                <w:szCs w:val="22"/>
                <w:rtl w:val="0"/>
              </w:rPr>
              <w:t xml:space="preserve">38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spacing w:line="276" w:lineRule="auto"/>
              <w:rPr>
                <w:sz w:val="20"/>
                <w:szCs w:val="20"/>
              </w:rPr>
            </w:pPr>
            <w:r w:rsidDel="00000000" w:rsidR="00000000" w:rsidRPr="00000000">
              <w:rPr>
                <w:sz w:val="22"/>
                <w:szCs w:val="22"/>
                <w:rtl w:val="0"/>
              </w:rPr>
              <w:t xml:space="preserve">30× Home Jerseys, 30×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spacing w:line="276" w:lineRule="auto"/>
              <w:rPr>
                <w:sz w:val="20"/>
                <w:szCs w:val="20"/>
              </w:rPr>
            </w:pPr>
            <w:r w:rsidDel="00000000" w:rsidR="00000000" w:rsidRPr="00000000">
              <w:rPr>
                <w:sz w:val="22"/>
                <w:szCs w:val="22"/>
                <w:rtl w:val="0"/>
              </w:rPr>
              <w:t xml:space="preserve">Boxing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spacing w:line="276" w:lineRule="auto"/>
              <w:jc w:val="center"/>
              <w:rPr>
                <w:sz w:val="20"/>
                <w:szCs w:val="20"/>
              </w:rPr>
            </w:pPr>
            <w:r w:rsidDel="00000000" w:rsidR="00000000" w:rsidRPr="00000000">
              <w:rPr>
                <w:sz w:val="22"/>
                <w:szCs w:val="22"/>
                <w:rtl w:val="0"/>
              </w:rPr>
              <w:t xml:space="preserve">76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spacing w:line="276" w:lineRule="auto"/>
              <w:rPr>
                <w:sz w:val="20"/>
                <w:szCs w:val="20"/>
              </w:rPr>
            </w:pPr>
            <w:r w:rsidDel="00000000" w:rsidR="00000000" w:rsidRPr="00000000">
              <w:rPr>
                <w:sz w:val="22"/>
                <w:szCs w:val="22"/>
                <w:rtl w:val="0"/>
              </w:rPr>
              <w:t xml:space="preserve">15× Singlets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spacing w:line="276" w:lineRule="auto"/>
              <w:rPr>
                <w:sz w:val="20"/>
                <w:szCs w:val="20"/>
              </w:rPr>
            </w:pPr>
            <w:r w:rsidDel="00000000" w:rsidR="00000000" w:rsidRPr="00000000">
              <w:rPr>
                <w:sz w:val="22"/>
                <w:szCs w:val="22"/>
                <w:rtl w:val="0"/>
              </w:rPr>
              <w:t xml:space="preserve">Climbing &amp; Mountaineering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spacing w:line="276" w:lineRule="auto"/>
              <w:jc w:val="center"/>
              <w:rPr>
                <w:sz w:val="20"/>
                <w:szCs w:val="20"/>
              </w:rPr>
            </w:pPr>
            <w:r w:rsidDel="00000000" w:rsidR="00000000" w:rsidRPr="00000000">
              <w:rPr>
                <w:sz w:val="22"/>
                <w:szCs w:val="22"/>
                <w:rtl w:val="0"/>
              </w:rPr>
              <w:t xml:space="preserve">75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spacing w:line="276" w:lineRule="auto"/>
              <w:rPr>
                <w:sz w:val="20"/>
                <w:szCs w:val="20"/>
              </w:rPr>
            </w:pPr>
            <w:r w:rsidDel="00000000" w:rsidR="00000000" w:rsidRPr="00000000">
              <w:rPr>
                <w:sz w:val="22"/>
                <w:szCs w:val="22"/>
                <w:rtl w:val="0"/>
              </w:rPr>
              <w:t xml:space="preserve">15× Singlets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spacing w:line="276" w:lineRule="auto"/>
              <w:rPr>
                <w:sz w:val="20"/>
                <w:szCs w:val="20"/>
              </w:rPr>
            </w:pPr>
            <w:r w:rsidDel="00000000" w:rsidR="00000000" w:rsidRPr="00000000">
              <w:rPr>
                <w:sz w:val="22"/>
                <w:szCs w:val="22"/>
                <w:rtl w:val="0"/>
              </w:rPr>
              <w:t xml:space="preserve">Cricket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spacing w:line="276" w:lineRule="auto"/>
              <w:jc w:val="center"/>
              <w:rPr>
                <w:sz w:val="20"/>
                <w:szCs w:val="20"/>
              </w:rPr>
            </w:pPr>
            <w:r w:rsidDel="00000000" w:rsidR="00000000" w:rsidRPr="00000000">
              <w:rPr>
                <w:sz w:val="22"/>
                <w:szCs w:val="22"/>
                <w:rtl w:val="0"/>
              </w:rPr>
              <w:t xml:space="preserve">111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spacing w:line="276" w:lineRule="auto"/>
              <w:rPr>
                <w:sz w:val="20"/>
                <w:szCs w:val="20"/>
              </w:rPr>
            </w:pPr>
            <w:r w:rsidDel="00000000" w:rsidR="00000000" w:rsidRPr="00000000">
              <w:rPr>
                <w:sz w:val="22"/>
                <w:szCs w:val="22"/>
                <w:rtl w:val="0"/>
              </w:rPr>
              <w:t xml:space="preserve">48× Coloured Kits, 12× White Kits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spacing w:line="276" w:lineRule="auto"/>
              <w:rPr>
                <w:sz w:val="20"/>
                <w:szCs w:val="20"/>
              </w:rPr>
            </w:pPr>
            <w:r w:rsidDel="00000000" w:rsidR="00000000" w:rsidRPr="00000000">
              <w:rPr>
                <w:sz w:val="22"/>
                <w:szCs w:val="22"/>
                <w:rtl w:val="0"/>
              </w:rPr>
              <w:t xml:space="preserve">Equestrian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spacing w:line="276" w:lineRule="auto"/>
              <w:jc w:val="center"/>
              <w:rPr>
                <w:sz w:val="20"/>
                <w:szCs w:val="20"/>
              </w:rPr>
            </w:pPr>
            <w:r w:rsidDel="00000000" w:rsidR="00000000" w:rsidRPr="00000000">
              <w:rPr>
                <w:sz w:val="22"/>
                <w:szCs w:val="22"/>
                <w:rtl w:val="0"/>
              </w:rPr>
              <w:t xml:space="preserve">31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spacing w:line="276" w:lineRule="auto"/>
              <w:rPr>
                <w:sz w:val="20"/>
                <w:szCs w:val="20"/>
              </w:rPr>
            </w:pPr>
            <w:r w:rsidDel="00000000" w:rsidR="00000000" w:rsidRPr="00000000">
              <w:rPr>
                <w:sz w:val="22"/>
                <w:szCs w:val="22"/>
                <w:rtl w:val="0"/>
              </w:rPr>
              <w:t xml:space="preserve">8× Home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spacing w:line="276" w:lineRule="auto"/>
              <w:rPr>
                <w:sz w:val="20"/>
                <w:szCs w:val="20"/>
              </w:rPr>
            </w:pPr>
            <w:r w:rsidDel="00000000" w:rsidR="00000000" w:rsidRPr="00000000">
              <w:rPr>
                <w:sz w:val="22"/>
                <w:szCs w:val="22"/>
                <w:rtl w:val="0"/>
              </w:rPr>
              <w:t xml:space="preserve">Football – Men’s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spacing w:line="276" w:lineRule="auto"/>
              <w:jc w:val="center"/>
              <w:rPr>
                <w:sz w:val="20"/>
                <w:szCs w:val="20"/>
              </w:rPr>
            </w:pPr>
            <w:r w:rsidDel="00000000" w:rsidR="00000000" w:rsidRPr="00000000">
              <w:rPr>
                <w:sz w:val="22"/>
                <w:szCs w:val="22"/>
                <w:rtl w:val="0"/>
              </w:rPr>
              <w:t xml:space="preserve">168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spacing w:line="276" w:lineRule="auto"/>
              <w:rPr>
                <w:sz w:val="20"/>
                <w:szCs w:val="20"/>
              </w:rPr>
            </w:pPr>
            <w:r w:rsidDel="00000000" w:rsidR="00000000" w:rsidRPr="00000000">
              <w:rPr>
                <w:sz w:val="22"/>
                <w:szCs w:val="22"/>
                <w:rtl w:val="0"/>
              </w:rPr>
              <w:t xml:space="preserve">72× Home Jerseys, 18×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spacing w:line="276" w:lineRule="auto"/>
              <w:rPr>
                <w:sz w:val="20"/>
                <w:szCs w:val="20"/>
              </w:rPr>
            </w:pPr>
            <w:r w:rsidDel="00000000" w:rsidR="00000000" w:rsidRPr="00000000">
              <w:rPr>
                <w:sz w:val="22"/>
                <w:szCs w:val="22"/>
                <w:rtl w:val="0"/>
              </w:rPr>
              <w:t xml:space="preserve">Football – Women’s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spacing w:line="276" w:lineRule="auto"/>
              <w:jc w:val="center"/>
              <w:rPr>
                <w:sz w:val="20"/>
                <w:szCs w:val="20"/>
              </w:rPr>
            </w:pPr>
            <w:r w:rsidDel="00000000" w:rsidR="00000000" w:rsidRPr="00000000">
              <w:rPr>
                <w:sz w:val="22"/>
                <w:szCs w:val="22"/>
                <w:rtl w:val="0"/>
              </w:rPr>
              <w:t xml:space="preserve">37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spacing w:line="276" w:lineRule="auto"/>
              <w:rPr>
                <w:sz w:val="20"/>
                <w:szCs w:val="20"/>
              </w:rPr>
            </w:pPr>
            <w:r w:rsidDel="00000000" w:rsidR="00000000" w:rsidRPr="00000000">
              <w:rPr>
                <w:sz w:val="22"/>
                <w:szCs w:val="22"/>
                <w:rtl w:val="0"/>
              </w:rPr>
              <w:t xml:space="preserve">36× Home Jerseys, 18×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spacing w:line="276" w:lineRule="auto"/>
              <w:rPr>
                <w:sz w:val="20"/>
                <w:szCs w:val="20"/>
              </w:rPr>
            </w:pPr>
            <w:r w:rsidDel="00000000" w:rsidR="00000000" w:rsidRPr="00000000">
              <w:rPr>
                <w:sz w:val="22"/>
                <w:szCs w:val="22"/>
                <w:rtl w:val="0"/>
              </w:rPr>
              <w:t xml:space="preserve">Futsal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spacing w:line="276" w:lineRule="auto"/>
              <w:jc w:val="center"/>
              <w:rPr>
                <w:sz w:val="20"/>
                <w:szCs w:val="20"/>
              </w:rPr>
            </w:pPr>
            <w:r w:rsidDel="00000000" w:rsidR="00000000" w:rsidRPr="00000000">
              <w:rPr>
                <w:sz w:val="22"/>
                <w:szCs w:val="22"/>
                <w:rtl w:val="0"/>
              </w:rPr>
              <w:t xml:space="preserve">21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spacing w:line="276" w:lineRule="auto"/>
              <w:rPr>
                <w:sz w:val="20"/>
                <w:szCs w:val="20"/>
              </w:rPr>
            </w:pPr>
            <w:r w:rsidDel="00000000" w:rsidR="00000000" w:rsidRPr="00000000">
              <w:rPr>
                <w:sz w:val="22"/>
                <w:szCs w:val="22"/>
                <w:rtl w:val="0"/>
              </w:rPr>
              <w:t xml:space="preserve">24× Home Jerseys, 12×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spacing w:line="276" w:lineRule="auto"/>
              <w:rPr>
                <w:sz w:val="20"/>
                <w:szCs w:val="20"/>
              </w:rPr>
            </w:pPr>
            <w:r w:rsidDel="00000000" w:rsidR="00000000" w:rsidRPr="00000000">
              <w:rPr>
                <w:sz w:val="22"/>
                <w:szCs w:val="22"/>
                <w:rtl w:val="0"/>
              </w:rPr>
              <w:t xml:space="preserve">Golf</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spacing w:line="276" w:lineRule="auto"/>
              <w:jc w:val="center"/>
              <w:rPr>
                <w:sz w:val="20"/>
                <w:szCs w:val="20"/>
              </w:rPr>
            </w:pPr>
            <w:r w:rsidDel="00000000" w:rsidR="00000000" w:rsidRPr="00000000">
              <w:rPr>
                <w:sz w:val="22"/>
                <w:szCs w:val="22"/>
                <w:rtl w:val="0"/>
              </w:rPr>
              <w:t xml:space="preserve">105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spacing w:line="276" w:lineRule="auto"/>
              <w:rPr>
                <w:sz w:val="20"/>
                <w:szCs w:val="20"/>
              </w:rPr>
            </w:pPr>
            <w:r w:rsidDel="00000000" w:rsidR="00000000" w:rsidRPr="00000000">
              <w:rPr>
                <w:sz w:val="22"/>
                <w:szCs w:val="22"/>
                <w:rtl w:val="0"/>
              </w:rPr>
              <w:t xml:space="preserve">8× Collared Home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spacing w:line="276" w:lineRule="auto"/>
              <w:rPr>
                <w:sz w:val="20"/>
                <w:szCs w:val="20"/>
              </w:rPr>
            </w:pPr>
            <w:r w:rsidDel="00000000" w:rsidR="00000000" w:rsidRPr="00000000">
              <w:rPr>
                <w:sz w:val="22"/>
                <w:szCs w:val="22"/>
                <w:rtl w:val="0"/>
              </w:rPr>
              <w:t xml:space="preserve">Hockey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spacing w:line="276" w:lineRule="auto"/>
              <w:jc w:val="center"/>
              <w:rPr>
                <w:sz w:val="20"/>
                <w:szCs w:val="20"/>
              </w:rPr>
            </w:pPr>
            <w:r w:rsidDel="00000000" w:rsidR="00000000" w:rsidRPr="00000000">
              <w:rPr>
                <w:sz w:val="22"/>
                <w:szCs w:val="22"/>
                <w:rtl w:val="0"/>
              </w:rPr>
              <w:t xml:space="preserve">229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spacing w:line="276" w:lineRule="auto"/>
              <w:rPr>
                <w:sz w:val="20"/>
                <w:szCs w:val="20"/>
              </w:rPr>
            </w:pPr>
            <w:r w:rsidDel="00000000" w:rsidR="00000000" w:rsidRPr="00000000">
              <w:rPr>
                <w:sz w:val="22"/>
                <w:szCs w:val="22"/>
                <w:rtl w:val="0"/>
              </w:rPr>
              <w:t xml:space="preserve">144× Home Jerseys, 36×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spacing w:line="276" w:lineRule="auto"/>
              <w:rPr>
                <w:sz w:val="20"/>
                <w:szCs w:val="20"/>
              </w:rPr>
            </w:pPr>
            <w:r w:rsidDel="00000000" w:rsidR="00000000" w:rsidRPr="00000000">
              <w:rPr>
                <w:sz w:val="22"/>
                <w:szCs w:val="22"/>
                <w:rtl w:val="0"/>
              </w:rPr>
              <w:t xml:space="preserve">Lacrosse – Men’s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spacing w:line="276" w:lineRule="auto"/>
              <w:jc w:val="center"/>
              <w:rPr>
                <w:sz w:val="20"/>
                <w:szCs w:val="20"/>
              </w:rPr>
            </w:pPr>
            <w:r w:rsidDel="00000000" w:rsidR="00000000" w:rsidRPr="00000000">
              <w:rPr>
                <w:sz w:val="22"/>
                <w:szCs w:val="22"/>
                <w:rtl w:val="0"/>
              </w:rPr>
              <w:t xml:space="preserve">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spacing w:line="276" w:lineRule="auto"/>
              <w:rPr>
                <w:sz w:val="20"/>
                <w:szCs w:val="20"/>
              </w:rPr>
            </w:pPr>
            <w:r w:rsidDel="00000000" w:rsidR="00000000" w:rsidRPr="00000000">
              <w:rPr>
                <w:sz w:val="22"/>
                <w:szCs w:val="22"/>
                <w:rtl w:val="0"/>
              </w:rPr>
              <w:t xml:space="preserve">22× Home Jerseys, 22×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spacing w:line="276" w:lineRule="auto"/>
              <w:rPr>
                <w:sz w:val="20"/>
                <w:szCs w:val="20"/>
              </w:rPr>
            </w:pPr>
            <w:r w:rsidDel="00000000" w:rsidR="00000000" w:rsidRPr="00000000">
              <w:rPr>
                <w:sz w:val="22"/>
                <w:szCs w:val="22"/>
                <w:rtl w:val="0"/>
              </w:rPr>
              <w:t xml:space="preserve">Lacrosse – Women’s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spacing w:line="276" w:lineRule="auto"/>
              <w:jc w:val="center"/>
              <w:rPr>
                <w:sz w:val="20"/>
                <w:szCs w:val="20"/>
              </w:rPr>
            </w:pPr>
            <w:r w:rsidDel="00000000" w:rsidR="00000000" w:rsidRPr="00000000">
              <w:rPr>
                <w:sz w:val="22"/>
                <w:szCs w:val="22"/>
                <w:rtl w:val="0"/>
              </w:rPr>
              <w:t xml:space="preserve">39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spacing w:line="276" w:lineRule="auto"/>
              <w:rPr>
                <w:sz w:val="20"/>
                <w:szCs w:val="20"/>
              </w:rPr>
            </w:pPr>
            <w:r w:rsidDel="00000000" w:rsidR="00000000" w:rsidRPr="00000000">
              <w:rPr>
                <w:sz w:val="22"/>
                <w:szCs w:val="22"/>
                <w:rtl w:val="0"/>
              </w:rPr>
              <w:t xml:space="preserve">44× Home Jerseys, 22×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spacing w:line="276" w:lineRule="auto"/>
              <w:rPr>
                <w:sz w:val="20"/>
                <w:szCs w:val="20"/>
              </w:rPr>
            </w:pPr>
            <w:r w:rsidDel="00000000" w:rsidR="00000000" w:rsidRPr="00000000">
              <w:rPr>
                <w:sz w:val="22"/>
                <w:szCs w:val="22"/>
                <w:rtl w:val="0"/>
              </w:rPr>
              <w:t xml:space="preserve">Netball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spacing w:line="276" w:lineRule="auto"/>
              <w:jc w:val="center"/>
              <w:rPr>
                <w:sz w:val="20"/>
                <w:szCs w:val="20"/>
              </w:rPr>
            </w:pPr>
            <w:r w:rsidDel="00000000" w:rsidR="00000000" w:rsidRPr="00000000">
              <w:rPr>
                <w:sz w:val="22"/>
                <w:szCs w:val="22"/>
                <w:rtl w:val="0"/>
              </w:rPr>
              <w:t xml:space="preserve">154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spacing w:line="276" w:lineRule="auto"/>
              <w:rPr>
                <w:sz w:val="20"/>
                <w:szCs w:val="20"/>
              </w:rPr>
            </w:pPr>
            <w:r w:rsidDel="00000000" w:rsidR="00000000" w:rsidRPr="00000000">
              <w:rPr>
                <w:sz w:val="22"/>
                <w:szCs w:val="22"/>
                <w:rtl w:val="0"/>
              </w:rPr>
              <w:t xml:space="preserve">48× Home Dresses, 12× Away Dresses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spacing w:line="276" w:lineRule="auto"/>
              <w:rPr>
                <w:sz w:val="20"/>
                <w:szCs w:val="20"/>
              </w:rPr>
            </w:pPr>
            <w:r w:rsidDel="00000000" w:rsidR="00000000" w:rsidRPr="00000000">
              <w:rPr>
                <w:sz w:val="22"/>
                <w:szCs w:val="22"/>
                <w:rtl w:val="0"/>
              </w:rPr>
              <w:t xml:space="preserve">Olympic Weightlifting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spacing w:line="276" w:lineRule="auto"/>
              <w:jc w:val="center"/>
              <w:rPr>
                <w:sz w:val="20"/>
                <w:szCs w:val="20"/>
              </w:rPr>
            </w:pPr>
            <w:r w:rsidDel="00000000" w:rsidR="00000000" w:rsidRPr="00000000">
              <w:rPr>
                <w:sz w:val="22"/>
                <w:szCs w:val="22"/>
                <w:rtl w:val="0"/>
              </w:rPr>
              <w:t xml:space="preserve">13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spacing w:line="276" w:lineRule="auto"/>
              <w:rPr>
                <w:sz w:val="20"/>
                <w:szCs w:val="20"/>
              </w:rPr>
            </w:pPr>
            <w:r w:rsidDel="00000000" w:rsidR="00000000" w:rsidRPr="00000000">
              <w:rPr>
                <w:sz w:val="22"/>
                <w:szCs w:val="22"/>
                <w:rtl w:val="0"/>
              </w:rPr>
              <w:t xml:space="preserve">15× Powerlifting/Weightlifting Singlets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spacing w:line="276" w:lineRule="auto"/>
              <w:rPr>
                <w:sz w:val="20"/>
                <w:szCs w:val="20"/>
              </w:rPr>
            </w:pPr>
            <w:r w:rsidDel="00000000" w:rsidR="00000000" w:rsidRPr="00000000">
              <w:rPr>
                <w:sz w:val="22"/>
                <w:szCs w:val="22"/>
                <w:rtl w:val="0"/>
              </w:rPr>
              <w:t xml:space="preserve">Padel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spacing w:line="276" w:lineRule="auto"/>
              <w:jc w:val="center"/>
              <w:rPr>
                <w:sz w:val="20"/>
                <w:szCs w:val="20"/>
              </w:rPr>
            </w:pPr>
            <w:r w:rsidDel="00000000" w:rsidR="00000000" w:rsidRPr="00000000">
              <w:rPr>
                <w:sz w:val="22"/>
                <w:szCs w:val="22"/>
                <w:rtl w:val="0"/>
              </w:rPr>
              <w:t xml:space="preserve">37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spacing w:line="276" w:lineRule="auto"/>
              <w:rPr>
                <w:sz w:val="20"/>
                <w:szCs w:val="20"/>
              </w:rPr>
            </w:pPr>
            <w:r w:rsidDel="00000000" w:rsidR="00000000" w:rsidRPr="00000000">
              <w:rPr>
                <w:sz w:val="22"/>
                <w:szCs w:val="22"/>
                <w:rtl w:val="0"/>
              </w:rPr>
              <w:t xml:space="preserve">15× Home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spacing w:line="276" w:lineRule="auto"/>
              <w:rPr>
                <w:sz w:val="20"/>
                <w:szCs w:val="20"/>
              </w:rPr>
            </w:pPr>
            <w:r w:rsidDel="00000000" w:rsidR="00000000" w:rsidRPr="00000000">
              <w:rPr>
                <w:sz w:val="22"/>
                <w:szCs w:val="22"/>
                <w:rtl w:val="0"/>
              </w:rPr>
              <w:t xml:space="preserve">Polo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spacing w:line="276" w:lineRule="auto"/>
              <w:jc w:val="center"/>
              <w:rPr>
                <w:sz w:val="20"/>
                <w:szCs w:val="20"/>
              </w:rPr>
            </w:pPr>
            <w:r w:rsidDel="00000000" w:rsidR="00000000" w:rsidRPr="00000000">
              <w:rPr>
                <w:sz w:val="22"/>
                <w:szCs w:val="22"/>
                <w:rtl w:val="0"/>
              </w:rPr>
              <w:t xml:space="preserve">31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spacing w:line="276" w:lineRule="auto"/>
              <w:rPr>
                <w:sz w:val="20"/>
                <w:szCs w:val="20"/>
              </w:rPr>
            </w:pPr>
            <w:r w:rsidDel="00000000" w:rsidR="00000000" w:rsidRPr="00000000">
              <w:rPr>
                <w:sz w:val="22"/>
                <w:szCs w:val="22"/>
                <w:rtl w:val="0"/>
              </w:rPr>
              <w:t xml:space="preserve">20× Home Jerseys, 10×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spacing w:line="276" w:lineRule="auto"/>
              <w:rPr>
                <w:sz w:val="20"/>
                <w:szCs w:val="20"/>
              </w:rPr>
            </w:pPr>
            <w:r w:rsidDel="00000000" w:rsidR="00000000" w:rsidRPr="00000000">
              <w:rPr>
                <w:sz w:val="22"/>
                <w:szCs w:val="22"/>
                <w:rtl w:val="0"/>
              </w:rPr>
              <w:t xml:space="preserve">Powerlifting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spacing w:line="276" w:lineRule="auto"/>
              <w:jc w:val="center"/>
              <w:rPr>
                <w:sz w:val="20"/>
                <w:szCs w:val="20"/>
              </w:rPr>
            </w:pPr>
            <w:r w:rsidDel="00000000" w:rsidR="00000000" w:rsidRPr="00000000">
              <w:rPr>
                <w:sz w:val="22"/>
                <w:szCs w:val="22"/>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spacing w:line="276" w:lineRule="auto"/>
              <w:rPr>
                <w:sz w:val="20"/>
                <w:szCs w:val="20"/>
              </w:rPr>
            </w:pPr>
            <w:r w:rsidDel="00000000" w:rsidR="00000000" w:rsidRPr="00000000">
              <w:rPr>
                <w:sz w:val="22"/>
                <w:szCs w:val="22"/>
                <w:rtl w:val="0"/>
              </w:rPr>
              <w:t xml:space="preserve">15× Powerlifting/Weightlifting Singlets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spacing w:line="276" w:lineRule="auto"/>
              <w:rPr>
                <w:sz w:val="20"/>
                <w:szCs w:val="20"/>
              </w:rPr>
            </w:pPr>
            <w:r w:rsidDel="00000000" w:rsidR="00000000" w:rsidRPr="00000000">
              <w:rPr>
                <w:sz w:val="22"/>
                <w:szCs w:val="22"/>
                <w:rtl w:val="0"/>
              </w:rPr>
              <w:t xml:space="preserve">Rowing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spacing w:line="276" w:lineRule="auto"/>
              <w:jc w:val="center"/>
              <w:rPr>
                <w:sz w:val="20"/>
                <w:szCs w:val="20"/>
              </w:rPr>
            </w:pPr>
            <w:r w:rsidDel="00000000" w:rsidR="00000000" w:rsidRPr="00000000">
              <w:rPr>
                <w:sz w:val="22"/>
                <w:szCs w:val="22"/>
                <w:rtl w:val="0"/>
              </w:rPr>
              <w:t xml:space="preserve">139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spacing w:line="276" w:lineRule="auto"/>
              <w:rPr>
                <w:sz w:val="20"/>
                <w:szCs w:val="20"/>
              </w:rPr>
            </w:pPr>
            <w:r w:rsidDel="00000000" w:rsidR="00000000" w:rsidRPr="00000000">
              <w:rPr>
                <w:sz w:val="22"/>
                <w:szCs w:val="22"/>
                <w:rtl w:val="0"/>
              </w:rPr>
              <w:t xml:space="preserve">150× Race Suits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spacing w:line="276" w:lineRule="auto"/>
              <w:rPr>
                <w:sz w:val="20"/>
                <w:szCs w:val="20"/>
              </w:rPr>
            </w:pPr>
            <w:r w:rsidDel="00000000" w:rsidR="00000000" w:rsidRPr="00000000">
              <w:rPr>
                <w:sz w:val="22"/>
                <w:szCs w:val="22"/>
                <w:rtl w:val="0"/>
              </w:rPr>
              <w:t xml:space="preserve">Rugby League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spacing w:line="276" w:lineRule="auto"/>
              <w:jc w:val="center"/>
              <w:rPr>
                <w:sz w:val="20"/>
                <w:szCs w:val="20"/>
              </w:rPr>
            </w:pPr>
            <w:r w:rsidDel="00000000" w:rsidR="00000000" w:rsidRPr="00000000">
              <w:rPr>
                <w:sz w:val="22"/>
                <w:szCs w:val="22"/>
                <w:rtl w:val="0"/>
              </w:rPr>
              <w:t xml:space="preserve">37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spacing w:line="276" w:lineRule="auto"/>
              <w:rPr>
                <w:sz w:val="20"/>
                <w:szCs w:val="20"/>
              </w:rPr>
            </w:pPr>
            <w:r w:rsidDel="00000000" w:rsidR="00000000" w:rsidRPr="00000000">
              <w:rPr>
                <w:sz w:val="22"/>
                <w:szCs w:val="22"/>
                <w:rtl w:val="0"/>
              </w:rPr>
              <w:t xml:space="preserve">24× Home Jerseys, 24×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spacing w:line="276" w:lineRule="auto"/>
              <w:rPr>
                <w:sz w:val="20"/>
                <w:szCs w:val="20"/>
              </w:rPr>
            </w:pPr>
            <w:r w:rsidDel="00000000" w:rsidR="00000000" w:rsidRPr="00000000">
              <w:rPr>
                <w:sz w:val="22"/>
                <w:szCs w:val="22"/>
                <w:rtl w:val="0"/>
              </w:rPr>
              <w:t xml:space="preserve">Rugby Union – Men’s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spacing w:line="276" w:lineRule="auto"/>
              <w:jc w:val="center"/>
              <w:rPr>
                <w:sz w:val="20"/>
                <w:szCs w:val="20"/>
              </w:rPr>
            </w:pPr>
            <w:r w:rsidDel="00000000" w:rsidR="00000000" w:rsidRPr="00000000">
              <w:rPr>
                <w:sz w:val="22"/>
                <w:szCs w:val="22"/>
                <w:rtl w:val="0"/>
              </w:rPr>
              <w:t xml:space="preserve">85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spacing w:line="276" w:lineRule="auto"/>
              <w:rPr>
                <w:sz w:val="20"/>
                <w:szCs w:val="20"/>
              </w:rPr>
            </w:pPr>
            <w:r w:rsidDel="00000000" w:rsidR="00000000" w:rsidRPr="00000000">
              <w:rPr>
                <w:sz w:val="22"/>
                <w:szCs w:val="22"/>
                <w:rtl w:val="0"/>
              </w:rPr>
              <w:t xml:space="preserve">66× Home Jerseys, 22×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B">
            <w:pPr>
              <w:widowControl w:val="0"/>
              <w:spacing w:line="276" w:lineRule="auto"/>
              <w:rPr>
                <w:sz w:val="20"/>
                <w:szCs w:val="20"/>
              </w:rPr>
            </w:pPr>
            <w:r w:rsidDel="00000000" w:rsidR="00000000" w:rsidRPr="00000000">
              <w:rPr>
                <w:sz w:val="22"/>
                <w:szCs w:val="22"/>
                <w:rtl w:val="0"/>
              </w:rPr>
              <w:t xml:space="preserve">Rugby Union – Women’s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spacing w:line="276" w:lineRule="auto"/>
              <w:jc w:val="center"/>
              <w:rPr>
                <w:sz w:val="20"/>
                <w:szCs w:val="20"/>
              </w:rPr>
            </w:pPr>
            <w:r w:rsidDel="00000000" w:rsidR="00000000" w:rsidRPr="00000000">
              <w:rPr>
                <w:sz w:val="22"/>
                <w:szCs w:val="22"/>
                <w:rtl w:val="0"/>
              </w:rPr>
              <w:t xml:space="preserve">37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spacing w:line="276" w:lineRule="auto"/>
              <w:rPr>
                <w:sz w:val="20"/>
                <w:szCs w:val="20"/>
              </w:rPr>
            </w:pPr>
            <w:r w:rsidDel="00000000" w:rsidR="00000000" w:rsidRPr="00000000">
              <w:rPr>
                <w:sz w:val="22"/>
                <w:szCs w:val="22"/>
                <w:rtl w:val="0"/>
              </w:rPr>
              <w:t xml:space="preserve">22× Home Jerseys, 22×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spacing w:line="276" w:lineRule="auto"/>
              <w:rPr>
                <w:sz w:val="20"/>
                <w:szCs w:val="20"/>
              </w:rPr>
            </w:pPr>
            <w:r w:rsidDel="00000000" w:rsidR="00000000" w:rsidRPr="00000000">
              <w:rPr>
                <w:sz w:val="22"/>
                <w:szCs w:val="22"/>
                <w:rtl w:val="0"/>
              </w:rPr>
              <w:t xml:space="preserve">Sailing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F">
            <w:pPr>
              <w:widowControl w:val="0"/>
              <w:spacing w:line="276" w:lineRule="auto"/>
              <w:jc w:val="center"/>
              <w:rPr>
                <w:sz w:val="20"/>
                <w:szCs w:val="20"/>
              </w:rPr>
            </w:pPr>
            <w:r w:rsidDel="00000000" w:rsidR="00000000" w:rsidRPr="00000000">
              <w:rPr>
                <w:sz w:val="22"/>
                <w:szCs w:val="22"/>
                <w:rtl w:val="0"/>
              </w:rPr>
              <w:t xml:space="preserve">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0">
            <w:pPr>
              <w:widowControl w:val="0"/>
              <w:spacing w:line="276" w:lineRule="auto"/>
              <w:rPr>
                <w:sz w:val="20"/>
                <w:szCs w:val="20"/>
              </w:rPr>
            </w:pPr>
            <w:r w:rsidDel="00000000" w:rsidR="00000000" w:rsidRPr="00000000">
              <w:rPr>
                <w:sz w:val="22"/>
                <w:szCs w:val="22"/>
                <w:rtl w:val="0"/>
              </w:rPr>
              <w:t xml:space="preserve">10× Race Vests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spacing w:line="276" w:lineRule="auto"/>
              <w:rPr>
                <w:sz w:val="20"/>
                <w:szCs w:val="20"/>
              </w:rPr>
            </w:pPr>
            <w:r w:rsidDel="00000000" w:rsidR="00000000" w:rsidRPr="00000000">
              <w:rPr>
                <w:sz w:val="22"/>
                <w:szCs w:val="22"/>
                <w:rtl w:val="0"/>
              </w:rPr>
              <w:t xml:space="preserve">Softball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2">
            <w:pPr>
              <w:widowControl w:val="0"/>
              <w:spacing w:line="276" w:lineRule="auto"/>
              <w:jc w:val="center"/>
              <w:rPr>
                <w:sz w:val="20"/>
                <w:szCs w:val="20"/>
              </w:rPr>
            </w:pPr>
            <w:r w:rsidDel="00000000" w:rsidR="00000000" w:rsidRPr="00000000">
              <w:rPr>
                <w:sz w:val="22"/>
                <w:szCs w:val="22"/>
                <w:rtl w:val="0"/>
              </w:rPr>
              <w:t xml:space="preserve">34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3">
            <w:pPr>
              <w:widowControl w:val="0"/>
              <w:spacing w:line="276" w:lineRule="auto"/>
              <w:rPr>
                <w:sz w:val="20"/>
                <w:szCs w:val="20"/>
              </w:rPr>
            </w:pPr>
            <w:r w:rsidDel="00000000" w:rsidR="00000000" w:rsidRPr="00000000">
              <w:rPr>
                <w:sz w:val="22"/>
                <w:szCs w:val="22"/>
                <w:rtl w:val="0"/>
              </w:rPr>
              <w:t xml:space="preserve">36× Home Jerseys, 18×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4">
            <w:pPr>
              <w:widowControl w:val="0"/>
              <w:spacing w:line="276" w:lineRule="auto"/>
              <w:rPr>
                <w:sz w:val="20"/>
                <w:szCs w:val="20"/>
              </w:rPr>
            </w:pPr>
            <w:r w:rsidDel="00000000" w:rsidR="00000000" w:rsidRPr="00000000">
              <w:rPr>
                <w:sz w:val="22"/>
                <w:szCs w:val="22"/>
                <w:rtl w:val="0"/>
              </w:rPr>
              <w:t xml:space="preserve">Table Tennis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5">
            <w:pPr>
              <w:widowControl w:val="0"/>
              <w:spacing w:line="276" w:lineRule="auto"/>
              <w:jc w:val="center"/>
              <w:rPr>
                <w:sz w:val="20"/>
                <w:szCs w:val="20"/>
              </w:rPr>
            </w:pPr>
            <w:r w:rsidDel="00000000" w:rsidR="00000000" w:rsidRPr="00000000">
              <w:rPr>
                <w:sz w:val="22"/>
                <w:szCs w:val="22"/>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6">
            <w:pPr>
              <w:widowControl w:val="0"/>
              <w:spacing w:line="276" w:lineRule="auto"/>
              <w:rPr>
                <w:sz w:val="20"/>
                <w:szCs w:val="20"/>
              </w:rPr>
            </w:pPr>
            <w:r w:rsidDel="00000000" w:rsidR="00000000" w:rsidRPr="00000000">
              <w:rPr>
                <w:sz w:val="22"/>
                <w:szCs w:val="22"/>
                <w:rtl w:val="0"/>
              </w:rPr>
              <w:t xml:space="preserve">6× Home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spacing w:line="276" w:lineRule="auto"/>
              <w:rPr>
                <w:sz w:val="20"/>
                <w:szCs w:val="20"/>
              </w:rPr>
            </w:pPr>
            <w:r w:rsidDel="00000000" w:rsidR="00000000" w:rsidRPr="00000000">
              <w:rPr>
                <w:sz w:val="22"/>
                <w:szCs w:val="22"/>
                <w:rtl w:val="0"/>
              </w:rPr>
              <w:t xml:space="preserve">Tennis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8">
            <w:pPr>
              <w:widowControl w:val="0"/>
              <w:spacing w:line="276" w:lineRule="auto"/>
              <w:jc w:val="center"/>
              <w:rPr>
                <w:sz w:val="20"/>
                <w:szCs w:val="20"/>
              </w:rPr>
            </w:pPr>
            <w:r w:rsidDel="00000000" w:rsidR="00000000" w:rsidRPr="00000000">
              <w:rPr>
                <w:sz w:val="22"/>
                <w:szCs w:val="22"/>
                <w:rtl w:val="0"/>
              </w:rPr>
              <w:t xml:space="preserve">206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spacing w:line="276" w:lineRule="auto"/>
              <w:rPr>
                <w:sz w:val="20"/>
                <w:szCs w:val="20"/>
              </w:rPr>
            </w:pPr>
            <w:r w:rsidDel="00000000" w:rsidR="00000000" w:rsidRPr="00000000">
              <w:rPr>
                <w:sz w:val="22"/>
                <w:szCs w:val="22"/>
                <w:rtl w:val="0"/>
              </w:rPr>
              <w:t xml:space="preserve">30× Home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A">
            <w:pPr>
              <w:widowControl w:val="0"/>
              <w:spacing w:line="276" w:lineRule="auto"/>
              <w:rPr>
                <w:sz w:val="20"/>
                <w:szCs w:val="20"/>
              </w:rPr>
            </w:pPr>
            <w:r w:rsidDel="00000000" w:rsidR="00000000" w:rsidRPr="00000000">
              <w:rPr>
                <w:sz w:val="22"/>
                <w:szCs w:val="22"/>
                <w:rtl w:val="0"/>
              </w:rPr>
              <w:t xml:space="preserve">Touch Rugby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spacing w:line="276" w:lineRule="auto"/>
              <w:jc w:val="center"/>
              <w:rPr>
                <w:sz w:val="20"/>
                <w:szCs w:val="20"/>
              </w:rPr>
            </w:pPr>
            <w:r w:rsidDel="00000000" w:rsidR="00000000" w:rsidRPr="00000000">
              <w:rPr>
                <w:sz w:val="22"/>
                <w:szCs w:val="22"/>
                <w:rtl w:val="0"/>
              </w:rPr>
              <w:t xml:space="preserve">29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spacing w:line="276" w:lineRule="auto"/>
              <w:rPr>
                <w:sz w:val="20"/>
                <w:szCs w:val="20"/>
              </w:rPr>
            </w:pPr>
            <w:r w:rsidDel="00000000" w:rsidR="00000000" w:rsidRPr="00000000">
              <w:rPr>
                <w:sz w:val="22"/>
                <w:szCs w:val="22"/>
                <w:rtl w:val="0"/>
              </w:rPr>
              <w:t xml:space="preserve">18× Home Jerseys, 18×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spacing w:line="276" w:lineRule="auto"/>
              <w:rPr>
                <w:sz w:val="20"/>
                <w:szCs w:val="20"/>
              </w:rPr>
            </w:pPr>
            <w:r w:rsidDel="00000000" w:rsidR="00000000" w:rsidRPr="00000000">
              <w:rPr>
                <w:sz w:val="22"/>
                <w:szCs w:val="22"/>
                <w:rtl w:val="0"/>
              </w:rPr>
              <w:t xml:space="preserve">Ultimate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spacing w:line="276" w:lineRule="auto"/>
              <w:jc w:val="center"/>
              <w:rPr>
                <w:sz w:val="20"/>
                <w:szCs w:val="20"/>
              </w:rPr>
            </w:pPr>
            <w:r w:rsidDel="00000000" w:rsidR="00000000" w:rsidRPr="00000000">
              <w:rPr>
                <w:sz w:val="22"/>
                <w:szCs w:val="22"/>
                <w:rtl w:val="0"/>
              </w:rPr>
              <w:t xml:space="preserve">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spacing w:line="276" w:lineRule="auto"/>
              <w:rPr>
                <w:sz w:val="20"/>
                <w:szCs w:val="20"/>
              </w:rPr>
            </w:pPr>
            <w:r w:rsidDel="00000000" w:rsidR="00000000" w:rsidRPr="00000000">
              <w:rPr>
                <w:sz w:val="22"/>
                <w:szCs w:val="22"/>
                <w:rtl w:val="0"/>
              </w:rPr>
              <w:t xml:space="preserve">18× Home Jerseys, 18×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spacing w:line="276" w:lineRule="auto"/>
              <w:rPr>
                <w:sz w:val="20"/>
                <w:szCs w:val="20"/>
              </w:rPr>
            </w:pPr>
            <w:r w:rsidDel="00000000" w:rsidR="00000000" w:rsidRPr="00000000">
              <w:rPr>
                <w:sz w:val="22"/>
                <w:szCs w:val="22"/>
                <w:rtl w:val="0"/>
              </w:rPr>
              <w:t xml:space="preserve">Volleyball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spacing w:line="276" w:lineRule="auto"/>
              <w:jc w:val="center"/>
              <w:rPr>
                <w:sz w:val="20"/>
                <w:szCs w:val="20"/>
              </w:rPr>
            </w:pPr>
            <w:r w:rsidDel="00000000" w:rsidR="00000000" w:rsidRPr="00000000">
              <w:rPr>
                <w:sz w:val="22"/>
                <w:szCs w:val="22"/>
                <w:rtl w:val="0"/>
              </w:rPr>
              <w:t xml:space="preserve">34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spacing w:line="276" w:lineRule="auto"/>
              <w:rPr>
                <w:sz w:val="20"/>
                <w:szCs w:val="20"/>
              </w:rPr>
            </w:pPr>
            <w:r w:rsidDel="00000000" w:rsidR="00000000" w:rsidRPr="00000000">
              <w:rPr>
                <w:sz w:val="22"/>
                <w:szCs w:val="22"/>
                <w:rtl w:val="0"/>
              </w:rPr>
              <w:t xml:space="preserve">24× Home Jerseys, 24× Away Jerseys</w:t>
            </w:r>
            <w:r w:rsidDel="00000000" w:rsidR="00000000" w:rsidRPr="00000000">
              <w:rPr>
                <w:rtl w:val="0"/>
              </w:rPr>
            </w:r>
          </w:p>
        </w:tc>
      </w:tr>
    </w:tbl>
    <w:p w:rsidR="00000000" w:rsidDel="00000000" w:rsidP="00000000" w:rsidRDefault="00000000" w:rsidRPr="00000000" w14:paraId="000000A3">
      <w:pPr>
        <w:rPr>
          <w:sz w:val="22"/>
          <w:szCs w:val="22"/>
        </w:rPr>
      </w:pPr>
      <w:r w:rsidDel="00000000" w:rsidR="00000000" w:rsidRPr="00000000">
        <w:rPr>
          <w:rtl w:val="0"/>
        </w:rPr>
      </w:r>
    </w:p>
    <w:p w:rsidR="00000000" w:rsidDel="00000000" w:rsidP="00000000" w:rsidRDefault="00000000" w:rsidRPr="00000000" w14:paraId="000000A4">
      <w:pPr>
        <w:pStyle w:val="Heading4"/>
        <w:spacing w:after="40" w:line="276" w:lineRule="auto"/>
        <w:ind w:left="0" w:firstLine="0"/>
        <w:rPr>
          <w:color w:val="000000"/>
          <w:sz w:val="22"/>
          <w:szCs w:val="22"/>
        </w:rPr>
      </w:pPr>
      <w:bookmarkStart w:colFirst="0" w:colLast="0" w:name="_heading=h.4o07fdeiahsz" w:id="6"/>
      <w:bookmarkEnd w:id="6"/>
      <w:r w:rsidDel="00000000" w:rsidR="00000000" w:rsidRPr="00000000">
        <w:rPr>
          <w:color w:val="000000"/>
          <w:sz w:val="22"/>
          <w:szCs w:val="22"/>
          <w:rtl w:val="0"/>
        </w:rPr>
        <w:t xml:space="preserve">Staff Uniform Requirements</w:t>
      </w:r>
    </w:p>
    <w:p w:rsidR="00000000" w:rsidDel="00000000" w:rsidP="00000000" w:rsidRDefault="00000000" w:rsidRPr="00000000" w14:paraId="000000A5">
      <w:pPr>
        <w:spacing w:after="240" w:line="276" w:lineRule="auto"/>
        <w:rPr>
          <w:sz w:val="22"/>
          <w:szCs w:val="22"/>
        </w:rPr>
      </w:pPr>
      <w:r w:rsidDel="00000000" w:rsidR="00000000" w:rsidRPr="00000000">
        <w:rPr>
          <w:sz w:val="22"/>
          <w:szCs w:val="22"/>
          <w:rtl w:val="0"/>
        </w:rPr>
        <w:t xml:space="preserve">An initial full kit-out is required for all staff, followed by annual top-up items based on staff turnover. </w:t>
      </w:r>
      <w:r w:rsidDel="00000000" w:rsidR="00000000" w:rsidRPr="00000000">
        <w:rPr>
          <w:sz w:val="22"/>
          <w:szCs w:val="22"/>
          <w:rtl w:val="0"/>
        </w:rPr>
        <w:t xml:space="preserve">This requirement may change at the University’s discretion during the life of the contract.  </w:t>
      </w:r>
      <w:r w:rsidDel="00000000" w:rsidR="00000000" w:rsidRPr="00000000">
        <w:rPr>
          <w:rtl w:val="0"/>
        </w:rPr>
      </w:r>
    </w:p>
    <w:p w:rsidR="00000000" w:rsidDel="00000000" w:rsidP="00000000" w:rsidRDefault="00000000" w:rsidRPr="00000000" w14:paraId="000000A6">
      <w:pPr>
        <w:spacing w:after="240" w:line="276" w:lineRule="auto"/>
        <w:rPr>
          <w:sz w:val="22"/>
          <w:szCs w:val="22"/>
        </w:rPr>
      </w:pPr>
      <w:r w:rsidDel="00000000" w:rsidR="00000000" w:rsidRPr="00000000">
        <w:rPr>
          <w:rtl w:val="0"/>
        </w:rPr>
      </w:r>
    </w:p>
    <w:p w:rsidR="00000000" w:rsidDel="00000000" w:rsidP="00000000" w:rsidRDefault="00000000" w:rsidRPr="00000000" w14:paraId="000000A7">
      <w:pPr>
        <w:spacing w:after="240" w:line="276" w:lineRule="auto"/>
        <w:rPr>
          <w:b w:val="1"/>
          <w:bCs w:val="1"/>
          <w:sz w:val="22"/>
          <w:szCs w:val="22"/>
        </w:rPr>
      </w:pPr>
      <w:r w:rsidDel="00000000" w:rsidR="00000000" w:rsidRPr="00000000">
        <w:rPr>
          <w:b w:val="1"/>
          <w:bCs w:val="1"/>
          <w:sz w:val="22"/>
          <w:szCs w:val="22"/>
          <w:rtl w:val="0"/>
        </w:rPr>
        <w:t xml:space="preserve">Table 2: Staff Uniform Requirements (Initial Kit-Out)</w:t>
      </w:r>
    </w:p>
    <w:tbl>
      <w:tblPr>
        <w:tblStyle w:val="Table5"/>
        <w:tblW w:w="99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1725"/>
        <w:gridCol w:w="6150"/>
        <w:tblGridChange w:id="0">
          <w:tblGrid>
            <w:gridCol w:w="2100"/>
            <w:gridCol w:w="1725"/>
            <w:gridCol w:w="6150"/>
          </w:tblGrid>
        </w:tblGridChange>
      </w:tblGrid>
      <w:tr>
        <w:trPr>
          <w:cantSplit w:val="0"/>
          <w:trHeight w:val="575.92529296875" w:hRule="atLeast"/>
          <w:tblHeader w:val="0"/>
        </w:trPr>
        <w:tc>
          <w:tcPr>
            <w:tcBorders>
              <w:top w:color="000000" w:space="0" w:sz="6" w:val="single"/>
              <w:left w:color="000000" w:space="0" w:sz="6" w:val="single"/>
              <w:bottom w:color="000000" w:space="0" w:sz="6" w:val="single"/>
              <w:right w:color="000000" w:space="0" w:sz="6"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A8">
            <w:pPr>
              <w:spacing w:after="480" w:line="276" w:lineRule="auto"/>
              <w:rPr>
                <w:sz w:val="22"/>
                <w:szCs w:val="22"/>
              </w:rPr>
            </w:pPr>
            <w:r w:rsidDel="00000000" w:rsidR="00000000" w:rsidRPr="00000000">
              <w:rPr>
                <w:b w:val="1"/>
                <w:bCs w:val="1"/>
                <w:sz w:val="22"/>
                <w:szCs w:val="22"/>
                <w:rtl w:val="0"/>
              </w:rPr>
              <w:t xml:space="preserve">Type of Staff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A9">
            <w:pPr>
              <w:spacing w:after="480" w:line="276" w:lineRule="auto"/>
              <w:rPr>
                <w:sz w:val="22"/>
                <w:szCs w:val="22"/>
              </w:rPr>
            </w:pPr>
            <w:r w:rsidDel="00000000" w:rsidR="00000000" w:rsidRPr="00000000">
              <w:rPr>
                <w:b w:val="1"/>
                <w:bCs w:val="1"/>
                <w:sz w:val="22"/>
                <w:szCs w:val="22"/>
                <w:rtl w:val="0"/>
              </w:rPr>
              <w:t xml:space="preserve">No. of Staff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AA">
            <w:pPr>
              <w:spacing w:after="480" w:line="276" w:lineRule="auto"/>
              <w:rPr>
                <w:sz w:val="22"/>
                <w:szCs w:val="22"/>
              </w:rPr>
            </w:pPr>
            <w:r w:rsidDel="00000000" w:rsidR="00000000" w:rsidRPr="00000000">
              <w:rPr>
                <w:b w:val="1"/>
                <w:bCs w:val="1"/>
                <w:sz w:val="22"/>
                <w:szCs w:val="22"/>
                <w:rtl w:val="0"/>
              </w:rPr>
              <w:t xml:space="preserve">Apparel Requirements</w:t>
            </w:r>
            <w:r w:rsidDel="00000000" w:rsidR="00000000" w:rsidRPr="00000000">
              <w:rPr>
                <w:rtl w:val="0"/>
              </w:rPr>
            </w:r>
          </w:p>
        </w:tc>
      </w:tr>
      <w:tr>
        <w:trPr>
          <w:cantSplit w:val="0"/>
          <w:trHeight w:val="8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B">
            <w:pPr>
              <w:spacing w:after="480" w:line="276" w:lineRule="auto"/>
              <w:rPr>
                <w:sz w:val="22"/>
                <w:szCs w:val="22"/>
              </w:rPr>
            </w:pPr>
            <w:r w:rsidDel="00000000" w:rsidR="00000000" w:rsidRPr="00000000">
              <w:rPr>
                <w:b w:val="1"/>
                <w:bCs w:val="1"/>
                <w:sz w:val="22"/>
                <w:szCs w:val="22"/>
                <w:rtl w:val="0"/>
              </w:rPr>
              <w:t xml:space="preserve">Senior Management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C">
            <w:pPr>
              <w:spacing w:after="480" w:line="276" w:lineRule="auto"/>
              <w:rPr>
                <w:sz w:val="22"/>
                <w:szCs w:val="22"/>
              </w:rPr>
            </w:pPr>
            <w:r w:rsidDel="00000000" w:rsidR="00000000" w:rsidRPr="00000000">
              <w:rPr>
                <w:sz w:val="22"/>
                <w:szCs w:val="22"/>
                <w:rtl w:val="0"/>
              </w:rPr>
              <w:t xml:space="preserve">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D">
            <w:pPr>
              <w:spacing w:after="480" w:line="276" w:lineRule="auto"/>
              <w:rPr>
                <w:sz w:val="22"/>
                <w:szCs w:val="22"/>
              </w:rPr>
            </w:pPr>
            <w:r w:rsidDel="00000000" w:rsidR="00000000" w:rsidRPr="00000000">
              <w:rPr>
                <w:sz w:val="22"/>
                <w:szCs w:val="22"/>
                <w:rtl w:val="0"/>
              </w:rPr>
              <w:t xml:space="preserve">Zip-up Half Layer Top x 1, Polo shirt x 2, Rainjacket x 1, Winter Jacket x 1</w:t>
            </w:r>
          </w:p>
        </w:tc>
      </w:tr>
      <w:tr>
        <w:trPr>
          <w:cantSplit w:val="0"/>
          <w:trHeight w:val="10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E">
            <w:pPr>
              <w:spacing w:after="480" w:line="276" w:lineRule="auto"/>
              <w:rPr>
                <w:sz w:val="22"/>
                <w:szCs w:val="22"/>
              </w:rPr>
            </w:pPr>
            <w:r w:rsidDel="00000000" w:rsidR="00000000" w:rsidRPr="00000000">
              <w:rPr>
                <w:b w:val="1"/>
                <w:bCs w:val="1"/>
                <w:sz w:val="22"/>
                <w:szCs w:val="22"/>
                <w:rtl w:val="0"/>
              </w:rPr>
              <w:t xml:space="preserve">Operational / Delivery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F">
            <w:pPr>
              <w:spacing w:after="480" w:line="276" w:lineRule="auto"/>
              <w:rPr>
                <w:sz w:val="22"/>
                <w:szCs w:val="22"/>
              </w:rPr>
            </w:pPr>
            <w:r w:rsidDel="00000000" w:rsidR="00000000" w:rsidRPr="00000000">
              <w:rPr>
                <w:sz w:val="22"/>
                <w:szCs w:val="22"/>
                <w:rtl w:val="0"/>
              </w:rPr>
              <w:t xml:space="preserve">37 (including casuals)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0">
            <w:pPr>
              <w:spacing w:after="480" w:line="276" w:lineRule="auto"/>
              <w:rPr>
                <w:sz w:val="22"/>
                <w:szCs w:val="22"/>
              </w:rPr>
            </w:pPr>
            <w:r w:rsidDel="00000000" w:rsidR="00000000" w:rsidRPr="00000000">
              <w:rPr>
                <w:sz w:val="22"/>
                <w:szCs w:val="22"/>
                <w:rtl w:val="0"/>
              </w:rPr>
              <w:t xml:space="preserve">Zip-up Half Layer Top x 2, Polo shirt x 2, T-shirts x 2, Trackpants x 2, Rainjacket x 1, Winter Jacket x 1</w:t>
            </w:r>
          </w:p>
        </w:tc>
      </w:tr>
      <w:tr>
        <w:trPr>
          <w:cantSplit w:val="0"/>
          <w:trHeight w:val="8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1">
            <w:pPr>
              <w:spacing w:after="480" w:line="276" w:lineRule="auto"/>
              <w:rPr>
                <w:sz w:val="22"/>
                <w:szCs w:val="22"/>
              </w:rPr>
            </w:pPr>
            <w:r w:rsidDel="00000000" w:rsidR="00000000" w:rsidRPr="00000000">
              <w:rPr>
                <w:b w:val="1"/>
                <w:bCs w:val="1"/>
                <w:sz w:val="22"/>
                <w:szCs w:val="22"/>
                <w:rtl w:val="0"/>
              </w:rPr>
              <w:t xml:space="preserve">Coaches / Practitioners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2">
            <w:pPr>
              <w:spacing w:after="480" w:line="276" w:lineRule="auto"/>
              <w:rPr>
                <w:sz w:val="22"/>
                <w:szCs w:val="22"/>
              </w:rPr>
            </w:pPr>
            <w:r w:rsidDel="00000000" w:rsidR="00000000" w:rsidRPr="00000000">
              <w:rPr>
                <w:sz w:val="22"/>
                <w:szCs w:val="22"/>
                <w:rtl w:val="0"/>
              </w:rPr>
              <w:t xml:space="preserve">50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3">
            <w:pPr>
              <w:spacing w:after="480" w:line="276" w:lineRule="auto"/>
              <w:rPr>
                <w:sz w:val="22"/>
                <w:szCs w:val="22"/>
              </w:rPr>
            </w:pPr>
            <w:r w:rsidDel="00000000" w:rsidR="00000000" w:rsidRPr="00000000">
              <w:rPr>
                <w:sz w:val="22"/>
                <w:szCs w:val="22"/>
                <w:rtl w:val="0"/>
              </w:rPr>
              <w:t xml:space="preserve">Zip-up Half Layer Top x 1, Polo shirt x 1, Trackpants x 1, Rainjacket x 1</w:t>
            </w:r>
          </w:p>
        </w:tc>
      </w:tr>
    </w:tbl>
    <w:p w:rsidR="00000000" w:rsidDel="00000000" w:rsidP="00000000" w:rsidRDefault="00000000" w:rsidRPr="00000000" w14:paraId="000000B4">
      <w:pPr>
        <w:rPr>
          <w:sz w:val="22"/>
          <w:szCs w:val="22"/>
        </w:rPr>
      </w:pPr>
      <w:r w:rsidDel="00000000" w:rsidR="00000000" w:rsidRPr="00000000">
        <w:rPr>
          <w:rtl w:val="0"/>
        </w:rPr>
      </w:r>
    </w:p>
    <w:p w:rsidR="00000000" w:rsidDel="00000000" w:rsidP="00000000" w:rsidRDefault="00000000" w:rsidRPr="00000000" w14:paraId="000000B5">
      <w:pPr>
        <w:pStyle w:val="Heading2"/>
        <w:keepNext w:val="0"/>
        <w:keepLines w:val="0"/>
        <w:spacing w:after="80" w:line="276" w:lineRule="auto"/>
        <w:rPr/>
      </w:pPr>
      <w:bookmarkStart w:colFirst="0" w:colLast="0" w:name="_heading=h.psmjjhrz4ion" w:id="7"/>
      <w:bookmarkEnd w:id="7"/>
      <w:r w:rsidDel="00000000" w:rsidR="00000000" w:rsidRPr="00000000">
        <w:rPr>
          <w:rtl w:val="0"/>
        </w:rPr>
        <w:t xml:space="preserve">Ordering, Logistics, and Financial Requirements</w:t>
      </w:r>
    </w:p>
    <w:p w:rsidR="00000000" w:rsidDel="00000000" w:rsidP="00000000" w:rsidRDefault="00000000" w:rsidRPr="00000000" w14:paraId="000000B6">
      <w:pPr>
        <w:pStyle w:val="Heading4"/>
        <w:spacing w:after="40" w:line="276" w:lineRule="auto"/>
        <w:ind w:left="0" w:firstLine="0"/>
        <w:rPr>
          <w:color w:val="000000"/>
          <w:sz w:val="22"/>
          <w:szCs w:val="22"/>
        </w:rPr>
      </w:pPr>
      <w:bookmarkStart w:colFirst="0" w:colLast="0" w:name="_heading=h.pp0l78cj7b1h" w:id="8"/>
      <w:bookmarkEnd w:id="8"/>
      <w:r w:rsidDel="00000000" w:rsidR="00000000" w:rsidRPr="00000000">
        <w:rPr>
          <w:color w:val="000000"/>
          <w:sz w:val="22"/>
          <w:szCs w:val="22"/>
          <w:rtl w:val="0"/>
        </w:rPr>
        <w:t xml:space="preserve">Bulk Ordering and Budget</w:t>
      </w:r>
    </w:p>
    <w:p w:rsidR="00000000" w:rsidDel="00000000" w:rsidP="00000000" w:rsidRDefault="00000000" w:rsidRPr="00000000" w14:paraId="000000B7">
      <w:pPr>
        <w:numPr>
          <w:ilvl w:val="0"/>
          <w:numId w:val="2"/>
        </w:numPr>
        <w:spacing w:after="0" w:afterAutospacing="0" w:line="276" w:lineRule="auto"/>
        <w:ind w:left="720" w:hanging="360"/>
        <w:rPr>
          <w:sz w:val="22"/>
          <w:szCs w:val="22"/>
        </w:rPr>
      </w:pPr>
      <w:r w:rsidDel="00000000" w:rsidR="00000000" w:rsidRPr="00000000">
        <w:rPr>
          <w:sz w:val="22"/>
          <w:szCs w:val="22"/>
          <w:rtl w:val="0"/>
        </w:rPr>
        <w:t xml:space="preserve">Delivery Deadline: All bulk-ordered items (team kits and staff uniforms) must be delivered to the Sports Centre by 1st September 2026.</w:t>
      </w:r>
    </w:p>
    <w:p w:rsidR="00000000" w:rsidDel="00000000" w:rsidP="00000000" w:rsidRDefault="00000000" w:rsidRPr="00000000" w14:paraId="000000B8">
      <w:pPr>
        <w:numPr>
          <w:ilvl w:val="0"/>
          <w:numId w:val="2"/>
        </w:numPr>
        <w:spacing w:after="240" w:line="276" w:lineRule="auto"/>
        <w:ind w:left="720" w:hanging="360"/>
        <w:rPr>
          <w:sz w:val="22"/>
          <w:szCs w:val="22"/>
        </w:rPr>
      </w:pPr>
      <w:r w:rsidDel="00000000" w:rsidR="00000000" w:rsidRPr="00000000">
        <w:rPr>
          <w:sz w:val="22"/>
          <w:szCs w:val="22"/>
          <w:rtl w:val="0"/>
        </w:rPr>
        <w:t xml:space="preserve">Order Lead Time: The supplier must commit to a delivery lead time of three (3) months or less from the date of placing the order.</w:t>
      </w:r>
    </w:p>
    <w:p w:rsidR="00000000" w:rsidDel="00000000" w:rsidP="00000000" w:rsidRDefault="00000000" w:rsidRPr="00000000" w14:paraId="000000B9">
      <w:pPr>
        <w:pStyle w:val="Heading4"/>
        <w:spacing w:after="40" w:line="276" w:lineRule="auto"/>
        <w:ind w:left="0" w:firstLine="0"/>
        <w:rPr>
          <w:color w:val="000000"/>
          <w:sz w:val="22"/>
          <w:szCs w:val="22"/>
        </w:rPr>
      </w:pPr>
      <w:bookmarkStart w:colFirst="0" w:colLast="0" w:name="_heading=h.18cegmc76kjt" w:id="9"/>
      <w:bookmarkEnd w:id="9"/>
      <w:r w:rsidDel="00000000" w:rsidR="00000000" w:rsidRPr="00000000">
        <w:rPr>
          <w:color w:val="000000"/>
          <w:sz w:val="22"/>
          <w:szCs w:val="22"/>
          <w:rtl w:val="0"/>
        </w:rPr>
        <w:t xml:space="preserve">Online Merchandise Store</w:t>
      </w:r>
    </w:p>
    <w:p w:rsidR="00000000" w:rsidDel="00000000" w:rsidP="00000000" w:rsidRDefault="00000000" w:rsidRPr="00000000" w14:paraId="000000BA">
      <w:pPr>
        <w:spacing w:after="240" w:line="276" w:lineRule="auto"/>
        <w:rPr>
          <w:sz w:val="22"/>
          <w:szCs w:val="22"/>
        </w:rPr>
      </w:pPr>
      <w:r w:rsidDel="00000000" w:rsidR="00000000" w:rsidRPr="00000000">
        <w:rPr>
          <w:sz w:val="22"/>
          <w:szCs w:val="22"/>
          <w:rtl w:val="0"/>
        </w:rPr>
        <w:t xml:space="preserve">The supplier must establish and manage an online merchandise store accessible to all customers.</w:t>
      </w:r>
    </w:p>
    <w:p w:rsidR="00000000" w:rsidDel="00000000" w:rsidP="00000000" w:rsidRDefault="00000000" w:rsidRPr="00000000" w14:paraId="000000BB">
      <w:pPr>
        <w:numPr>
          <w:ilvl w:val="0"/>
          <w:numId w:val="3"/>
        </w:numPr>
        <w:spacing w:after="0" w:afterAutospacing="0" w:line="276" w:lineRule="auto"/>
        <w:ind w:left="720" w:hanging="360"/>
        <w:rPr>
          <w:sz w:val="22"/>
          <w:szCs w:val="22"/>
        </w:rPr>
      </w:pPr>
      <w:r w:rsidDel="00000000" w:rsidR="00000000" w:rsidRPr="00000000">
        <w:rPr>
          <w:sz w:val="22"/>
          <w:szCs w:val="22"/>
          <w:rtl w:val="0"/>
        </w:rPr>
        <w:t xml:space="preserve">Store Requirements: The store should feature a dedicated "Brookes Club House" page along with club specific pages for each of the clubs with University branding and bespoke items. It must stock:</w:t>
      </w:r>
    </w:p>
    <w:p w:rsidR="00000000" w:rsidDel="00000000" w:rsidP="00000000" w:rsidRDefault="00000000" w:rsidRPr="00000000" w14:paraId="000000BC">
      <w:pPr>
        <w:numPr>
          <w:ilvl w:val="1"/>
          <w:numId w:val="3"/>
        </w:numPr>
        <w:spacing w:after="0" w:afterAutospacing="0" w:line="276" w:lineRule="auto"/>
        <w:ind w:left="1440" w:hanging="360"/>
        <w:rPr>
          <w:sz w:val="22"/>
          <w:szCs w:val="22"/>
        </w:rPr>
      </w:pPr>
      <w:r w:rsidDel="00000000" w:rsidR="00000000" w:rsidRPr="00000000">
        <w:rPr>
          <w:sz w:val="22"/>
          <w:szCs w:val="22"/>
          <w:rtl w:val="0"/>
        </w:rPr>
        <w:t xml:space="preserve">Certain playing kit additions (e.g., shorts, socks).</w:t>
      </w:r>
    </w:p>
    <w:p w:rsidR="00000000" w:rsidDel="00000000" w:rsidP="00000000" w:rsidRDefault="00000000" w:rsidRPr="00000000" w14:paraId="000000BD">
      <w:pPr>
        <w:numPr>
          <w:ilvl w:val="1"/>
          <w:numId w:val="3"/>
        </w:numPr>
        <w:spacing w:after="0" w:afterAutospacing="0" w:line="276" w:lineRule="auto"/>
        <w:ind w:left="1440" w:hanging="360"/>
        <w:rPr>
          <w:sz w:val="22"/>
          <w:szCs w:val="22"/>
        </w:rPr>
      </w:pPr>
      <w:r w:rsidDel="00000000" w:rsidR="00000000" w:rsidRPr="00000000">
        <w:rPr>
          <w:sz w:val="22"/>
          <w:szCs w:val="22"/>
          <w:rtl w:val="0"/>
        </w:rPr>
        <w:t xml:space="preserve">General ancillary wear/leisurewear (e.g., hoodies, zip-up mid-layers, trackpants, t-shirts, polo shirts, rainjackets, bags).</w:t>
      </w:r>
    </w:p>
    <w:p w:rsidR="00000000" w:rsidDel="00000000" w:rsidP="00000000" w:rsidRDefault="00000000" w:rsidRPr="00000000" w14:paraId="000000BE">
      <w:pPr>
        <w:numPr>
          <w:ilvl w:val="0"/>
          <w:numId w:val="3"/>
        </w:numPr>
        <w:spacing w:after="0" w:afterAutospacing="0" w:line="276" w:lineRule="auto"/>
        <w:ind w:left="720" w:hanging="360"/>
        <w:rPr>
          <w:sz w:val="22"/>
          <w:szCs w:val="22"/>
        </w:rPr>
      </w:pPr>
      <w:r w:rsidDel="00000000" w:rsidR="00000000" w:rsidRPr="00000000">
        <w:rPr>
          <w:sz w:val="22"/>
          <w:szCs w:val="22"/>
          <w:rtl w:val="0"/>
        </w:rPr>
        <w:t xml:space="preserve">Order Fulfilment: Customers must be able to purchase items individually, with delivery directly to their home address only.</w:t>
      </w:r>
    </w:p>
    <w:p w:rsidR="00000000" w:rsidDel="00000000" w:rsidP="00000000" w:rsidRDefault="00000000" w:rsidRPr="00000000" w14:paraId="000000BF">
      <w:pPr>
        <w:numPr>
          <w:ilvl w:val="0"/>
          <w:numId w:val="3"/>
        </w:numPr>
        <w:spacing w:after="0" w:afterAutospacing="0" w:line="276" w:lineRule="auto"/>
        <w:ind w:left="720" w:hanging="360"/>
        <w:rPr>
          <w:sz w:val="22"/>
          <w:szCs w:val="22"/>
        </w:rPr>
      </w:pPr>
      <w:r w:rsidDel="00000000" w:rsidR="00000000" w:rsidRPr="00000000">
        <w:rPr>
          <w:sz w:val="22"/>
          <w:szCs w:val="22"/>
          <w:rtl w:val="0"/>
        </w:rPr>
        <w:t xml:space="preserve">Delivery Lead Time: The lead time from a customer placing an order for a stock line item (items to be agreed between awarded supplier and the University) via the online store to delivery must be two (2) weeks or less.  </w:t>
      </w:r>
    </w:p>
    <w:p w:rsidR="00000000" w:rsidDel="00000000" w:rsidP="00000000" w:rsidRDefault="00000000" w:rsidRPr="00000000" w14:paraId="000000C0">
      <w:pPr>
        <w:numPr>
          <w:ilvl w:val="0"/>
          <w:numId w:val="3"/>
        </w:numPr>
        <w:spacing w:after="240" w:line="276" w:lineRule="auto"/>
        <w:ind w:left="720" w:hanging="360"/>
        <w:rPr>
          <w:sz w:val="22"/>
          <w:szCs w:val="22"/>
        </w:rPr>
      </w:pPr>
      <w:r w:rsidDel="00000000" w:rsidR="00000000" w:rsidRPr="00000000">
        <w:rPr>
          <w:sz w:val="22"/>
          <w:szCs w:val="22"/>
          <w:rtl w:val="0"/>
        </w:rPr>
        <w:t xml:space="preserve">Sizing Information: The supplier must provide sizing templates, cost, and delivery information on the store page.</w:t>
      </w:r>
      <w:r w:rsidDel="00000000" w:rsidR="00000000" w:rsidRPr="00000000">
        <w:rPr>
          <w:rtl w:val="0"/>
        </w:rPr>
      </w:r>
    </w:p>
    <w:p w:rsidR="00000000" w:rsidDel="00000000" w:rsidP="00000000" w:rsidRDefault="00000000" w:rsidRPr="00000000" w14:paraId="000000C1">
      <w:pPr>
        <w:pStyle w:val="Heading2"/>
        <w:keepNext w:val="0"/>
        <w:keepLines w:val="0"/>
        <w:spacing w:after="80" w:line="276" w:lineRule="auto"/>
        <w:rPr/>
      </w:pPr>
      <w:bookmarkStart w:colFirst="0" w:colLast="0" w:name="_heading=h.fwewv0mru3xd" w:id="10"/>
      <w:bookmarkEnd w:id="10"/>
      <w:r w:rsidDel="00000000" w:rsidR="00000000" w:rsidRPr="00000000">
        <w:rPr>
          <w:rtl w:val="0"/>
        </w:rPr>
        <w:t xml:space="preserve">Technical and Design Specifications</w:t>
      </w:r>
    </w:p>
    <w:p w:rsidR="00000000" w:rsidDel="00000000" w:rsidP="00000000" w:rsidRDefault="00000000" w:rsidRPr="00000000" w14:paraId="000000C2">
      <w:pPr>
        <w:spacing w:after="40" w:line="276" w:lineRule="auto"/>
        <w:ind w:left="0" w:firstLine="0"/>
        <w:rPr>
          <w:b w:val="1"/>
          <w:bCs w:val="1"/>
        </w:rPr>
      </w:pPr>
      <w:r w:rsidDel="00000000" w:rsidR="00000000" w:rsidRPr="00000000">
        <w:rPr>
          <w:b w:val="1"/>
          <w:bCs w:val="1"/>
          <w:rtl w:val="0"/>
        </w:rPr>
        <w:t xml:space="preserve">Product Standards and Materials</w:t>
      </w:r>
    </w:p>
    <w:p w:rsidR="00000000" w:rsidDel="00000000" w:rsidP="00000000" w:rsidRDefault="00000000" w:rsidRPr="00000000" w14:paraId="000000C3">
      <w:pPr>
        <w:numPr>
          <w:ilvl w:val="0"/>
          <w:numId w:val="4"/>
        </w:numPr>
        <w:spacing w:after="0" w:afterAutospacing="0" w:line="276" w:lineRule="auto"/>
        <w:ind w:left="720" w:hanging="360"/>
        <w:rPr>
          <w:sz w:val="22"/>
          <w:szCs w:val="22"/>
        </w:rPr>
      </w:pPr>
      <w:r w:rsidDel="00000000" w:rsidR="00000000" w:rsidRPr="00000000">
        <w:rPr>
          <w:sz w:val="22"/>
          <w:szCs w:val="22"/>
          <w:rtl w:val="0"/>
        </w:rPr>
        <w:t xml:space="preserve">Fit and Sizing: Products must be gender-specific and EDI-considered, offering inclusive sizing across a full range of sports.</w:t>
      </w:r>
    </w:p>
    <w:p w:rsidR="00000000" w:rsidDel="00000000" w:rsidP="00000000" w:rsidRDefault="00000000" w:rsidRPr="00000000" w14:paraId="000000C4">
      <w:pPr>
        <w:numPr>
          <w:ilvl w:val="0"/>
          <w:numId w:val="4"/>
        </w:numPr>
        <w:spacing w:after="0" w:afterAutospacing="0" w:line="276" w:lineRule="auto"/>
        <w:ind w:left="720" w:hanging="360"/>
        <w:rPr>
          <w:sz w:val="22"/>
          <w:szCs w:val="22"/>
          <w:u w:val="none"/>
        </w:rPr>
      </w:pPr>
      <w:r w:rsidDel="00000000" w:rsidR="00000000" w:rsidRPr="00000000">
        <w:rPr>
          <w:sz w:val="22"/>
          <w:szCs w:val="22"/>
          <w:rtl w:val="0"/>
        </w:rPr>
        <w:t xml:space="preserve">Pantone Colours: Please see our </w:t>
      </w:r>
      <w:hyperlink r:id="rId13">
        <w:r w:rsidDel="00000000" w:rsidR="00000000" w:rsidRPr="00000000">
          <w:rPr>
            <w:color w:val="1155cc"/>
            <w:sz w:val="22"/>
            <w:szCs w:val="22"/>
            <w:u w:val="single"/>
            <w:rtl w:val="0"/>
          </w:rPr>
          <w:t xml:space="preserve">Visual Identity Colours</w:t>
        </w:r>
      </w:hyperlink>
      <w:r w:rsidDel="00000000" w:rsidR="00000000" w:rsidRPr="00000000">
        <w:rPr>
          <w:sz w:val="22"/>
          <w:szCs w:val="22"/>
          <w:rtl w:val="0"/>
        </w:rPr>
        <w:t xml:space="preserve"> </w:t>
      </w:r>
    </w:p>
    <w:p w:rsidR="00000000" w:rsidDel="00000000" w:rsidP="00000000" w:rsidRDefault="00000000" w:rsidRPr="00000000" w14:paraId="000000C5">
      <w:pPr>
        <w:numPr>
          <w:ilvl w:val="0"/>
          <w:numId w:val="4"/>
        </w:numPr>
        <w:spacing w:after="0" w:afterAutospacing="0" w:line="276" w:lineRule="auto"/>
        <w:ind w:left="720" w:hanging="360"/>
        <w:rPr>
          <w:sz w:val="22"/>
          <w:szCs w:val="22"/>
        </w:rPr>
      </w:pPr>
      <w:r w:rsidDel="00000000" w:rsidR="00000000" w:rsidRPr="00000000">
        <w:rPr>
          <w:sz w:val="22"/>
          <w:szCs w:val="22"/>
          <w:rtl w:val="0"/>
        </w:rPr>
        <w:t xml:space="preserve">Quality: All apparel must conform to relevant British Standards (BS/BS EN/BS EN ISO) for textile quality and durability, be hard-wearing, washable, and sustainably sourced and manufactured.</w:t>
      </w:r>
    </w:p>
    <w:p w:rsidR="00000000" w:rsidDel="00000000" w:rsidP="00000000" w:rsidRDefault="00000000" w:rsidRPr="00000000" w14:paraId="000000C6">
      <w:pPr>
        <w:numPr>
          <w:ilvl w:val="0"/>
          <w:numId w:val="4"/>
        </w:numPr>
        <w:spacing w:after="0" w:afterAutospacing="0" w:line="276" w:lineRule="auto"/>
        <w:ind w:left="720" w:hanging="360"/>
        <w:rPr>
          <w:sz w:val="22"/>
          <w:szCs w:val="22"/>
        </w:rPr>
      </w:pPr>
      <w:r w:rsidDel="00000000" w:rsidR="00000000" w:rsidRPr="00000000">
        <w:rPr>
          <w:sz w:val="22"/>
          <w:szCs w:val="22"/>
          <w:rtl w:val="0"/>
        </w:rPr>
        <w:t xml:space="preserve">Performance: Materials must be sport-specific and designed to maximise athletic performance, ensuring breathability, comfort, and freedom of movement appropriate to each sport.</w:t>
      </w:r>
    </w:p>
    <w:p w:rsidR="00000000" w:rsidDel="00000000" w:rsidP="00000000" w:rsidRDefault="00000000" w:rsidRPr="00000000" w14:paraId="000000C7">
      <w:pPr>
        <w:numPr>
          <w:ilvl w:val="0"/>
          <w:numId w:val="4"/>
        </w:numPr>
        <w:spacing w:after="240" w:line="276" w:lineRule="auto"/>
        <w:ind w:left="720" w:hanging="360"/>
        <w:rPr>
          <w:sz w:val="22"/>
          <w:szCs w:val="22"/>
        </w:rPr>
      </w:pPr>
      <w:r w:rsidDel="00000000" w:rsidR="00000000" w:rsidRPr="00000000">
        <w:rPr>
          <w:sz w:val="22"/>
          <w:szCs w:val="22"/>
          <w:rtl w:val="0"/>
        </w:rPr>
        <w:t xml:space="preserve">Sustainability: All apparel must be ethically and sustainably sourced and manufactured, with responsible labour practices and minimal or recyclable packaging.  Suppliers should demonstrate recognised sustainability certifications and provide evidence of their environmental and social responsibility practices.</w:t>
      </w:r>
    </w:p>
    <w:p w:rsidR="00000000" w:rsidDel="00000000" w:rsidP="00000000" w:rsidRDefault="00000000" w:rsidRPr="00000000" w14:paraId="000000C8">
      <w:pPr>
        <w:spacing w:after="240" w:line="276" w:lineRule="auto"/>
        <w:ind w:left="0" w:firstLine="0"/>
        <w:rPr>
          <w:b w:val="1"/>
          <w:bCs w:val="1"/>
          <w:color w:val="000000"/>
          <w:sz w:val="22"/>
          <w:szCs w:val="22"/>
        </w:rPr>
      </w:pPr>
      <w:r w:rsidDel="00000000" w:rsidR="00000000" w:rsidRPr="00000000">
        <w:rPr>
          <w:b w:val="1"/>
          <w:bCs w:val="1"/>
          <w:color w:val="000000"/>
          <w:sz w:val="22"/>
          <w:szCs w:val="22"/>
          <w:rtl w:val="0"/>
        </w:rPr>
        <w:t xml:space="preserve">Branding and Intellectual Property (IP)</w:t>
      </w:r>
    </w:p>
    <w:p w:rsidR="00000000" w:rsidDel="00000000" w:rsidP="00000000" w:rsidRDefault="00000000" w:rsidRPr="00000000" w14:paraId="000000C9">
      <w:pPr>
        <w:numPr>
          <w:ilvl w:val="0"/>
          <w:numId w:val="1"/>
        </w:numPr>
        <w:spacing w:after="0" w:afterAutospacing="0" w:line="276" w:lineRule="auto"/>
        <w:ind w:left="720" w:hanging="360"/>
        <w:rPr>
          <w:sz w:val="22"/>
          <w:szCs w:val="22"/>
        </w:rPr>
      </w:pPr>
      <w:r w:rsidDel="00000000" w:rsidR="00000000" w:rsidRPr="00000000">
        <w:rPr>
          <w:sz w:val="22"/>
          <w:szCs w:val="22"/>
          <w:rtl w:val="0"/>
        </w:rPr>
        <w:t xml:space="preserve">Design Ownership: The University requires that it retains all design rights and intellectual property (IP) for the University and Directorate branding/designs.  The supplier would be expected to lead on the designs of the apparel, fully incorporating our visual identity and corporate branding requirements.  </w:t>
      </w:r>
    </w:p>
    <w:p w:rsidR="00000000" w:rsidDel="00000000" w:rsidP="00000000" w:rsidRDefault="00000000" w:rsidRPr="00000000" w14:paraId="000000CA">
      <w:pPr>
        <w:numPr>
          <w:ilvl w:val="0"/>
          <w:numId w:val="1"/>
        </w:numPr>
        <w:spacing w:after="0" w:afterAutospacing="0" w:line="276" w:lineRule="auto"/>
        <w:ind w:left="720" w:hanging="360"/>
        <w:rPr>
          <w:sz w:val="22"/>
          <w:szCs w:val="22"/>
          <w:u w:val="none"/>
        </w:rPr>
      </w:pPr>
      <w:r w:rsidDel="00000000" w:rsidR="00000000" w:rsidRPr="00000000">
        <w:rPr>
          <w:sz w:val="22"/>
          <w:szCs w:val="22"/>
          <w:rtl w:val="0"/>
        </w:rPr>
        <w:t xml:space="preserve">Brand Management: The University requires a supplier that will take lead on the design and management of our brand and obtain University approval whilst being pro-active with new product ranges and the ability to aid our individual clubs to add new stock to their range of products ensuring it remains on brand.  </w:t>
      </w:r>
    </w:p>
    <w:p w:rsidR="00000000" w:rsidDel="00000000" w:rsidP="00000000" w:rsidRDefault="00000000" w:rsidRPr="00000000" w14:paraId="000000CB">
      <w:pPr>
        <w:numPr>
          <w:ilvl w:val="0"/>
          <w:numId w:val="1"/>
        </w:numPr>
        <w:spacing w:after="240" w:line="276" w:lineRule="auto"/>
        <w:ind w:left="720" w:hanging="360"/>
        <w:rPr>
          <w:sz w:val="22"/>
          <w:szCs w:val="22"/>
        </w:rPr>
      </w:pPr>
      <w:r w:rsidDel="00000000" w:rsidR="00000000" w:rsidRPr="00000000">
        <w:rPr>
          <w:sz w:val="22"/>
          <w:szCs w:val="22"/>
          <w:rtl w:val="0"/>
        </w:rPr>
        <w:t xml:space="preserve">Consistency: The supplier will work collaboratively with the University to ensure the visual designs align with the new corporate identity and offer consistency across all lines of stock.</w:t>
      </w:r>
      <w:r w:rsidDel="00000000" w:rsidR="00000000" w:rsidRPr="00000000">
        <w:rPr>
          <w:rtl w:val="0"/>
        </w:rPr>
      </w:r>
    </w:p>
    <w:p w:rsidR="00000000" w:rsidDel="00000000" w:rsidP="00000000" w:rsidRDefault="00000000" w:rsidRPr="00000000" w14:paraId="000000CC">
      <w:pPr>
        <w:spacing w:after="240" w:line="276" w:lineRule="auto"/>
        <w:rPr>
          <w:b w:val="1"/>
          <w:bCs w:val="1"/>
          <w:sz w:val="22"/>
          <w:szCs w:val="22"/>
        </w:rPr>
      </w:pPr>
      <w:r w:rsidDel="00000000" w:rsidR="00000000" w:rsidRPr="00000000">
        <w:rPr>
          <w:b w:val="1"/>
          <w:bCs w:val="1"/>
          <w:sz w:val="22"/>
          <w:szCs w:val="22"/>
          <w:rtl w:val="0"/>
        </w:rPr>
        <w:t xml:space="preserve">Management Information </w:t>
      </w:r>
      <w:r w:rsidDel="00000000" w:rsidR="00000000" w:rsidRPr="00000000">
        <w:rPr>
          <w:rtl w:val="0"/>
        </w:rPr>
      </w:r>
    </w:p>
    <w:p w:rsidR="00000000" w:rsidDel="00000000" w:rsidP="00000000" w:rsidRDefault="00000000" w:rsidRPr="00000000" w14:paraId="000000CD">
      <w:pPr>
        <w:spacing w:after="240" w:line="276" w:lineRule="auto"/>
        <w:rPr>
          <w:sz w:val="22"/>
          <w:szCs w:val="22"/>
        </w:rPr>
      </w:pPr>
      <w:r w:rsidDel="00000000" w:rsidR="00000000" w:rsidRPr="00000000">
        <w:rPr>
          <w:sz w:val="22"/>
          <w:szCs w:val="22"/>
          <w:rtl w:val="0"/>
        </w:rPr>
        <w:t xml:space="preserve">The University would expect reporting on sales every month split by clubs, with a more detailed overall report on sales, issues, relations, etc, every year in July to align to the University’s end of financial year.</w:t>
      </w:r>
    </w:p>
    <w:p w:rsidR="00000000" w:rsidDel="00000000" w:rsidP="00000000" w:rsidRDefault="00000000" w:rsidRPr="00000000" w14:paraId="000000CE">
      <w:pPr>
        <w:spacing w:after="240" w:lineRule="auto"/>
        <w:rPr>
          <w:b w:val="1"/>
          <w:bCs w:val="1"/>
          <w:sz w:val="22"/>
          <w:szCs w:val="22"/>
        </w:rPr>
      </w:pPr>
      <w:r w:rsidDel="00000000" w:rsidR="00000000" w:rsidRPr="00000000">
        <w:rPr>
          <w:b w:val="1"/>
          <w:bCs w:val="1"/>
          <w:sz w:val="22"/>
          <w:szCs w:val="22"/>
          <w:rtl w:val="0"/>
        </w:rPr>
        <w:t xml:space="preserve">Corporate Social Responsibility</w:t>
      </w:r>
    </w:p>
    <w:p w:rsidR="00000000" w:rsidDel="00000000" w:rsidP="00000000" w:rsidRDefault="00000000" w:rsidRPr="00000000" w14:paraId="000000CF">
      <w:pPr>
        <w:numPr>
          <w:ilvl w:val="0"/>
          <w:numId w:val="3"/>
        </w:numPr>
        <w:spacing w:after="0" w:afterAutospacing="0" w:line="276" w:lineRule="auto"/>
        <w:ind w:left="720" w:hanging="360"/>
        <w:rPr>
          <w:sz w:val="22"/>
          <w:szCs w:val="22"/>
        </w:rPr>
      </w:pPr>
      <w:r w:rsidDel="00000000" w:rsidR="00000000" w:rsidRPr="00000000">
        <w:rPr>
          <w:sz w:val="22"/>
          <w:szCs w:val="22"/>
          <w:rtl w:val="0"/>
        </w:rPr>
        <w:t xml:space="preserve">Income Generation: The University expects commission from sales of additional items purchased through the merchandise store, alongside detailed club-by-club sales reporting from the supplier.</w:t>
      </w:r>
    </w:p>
    <w:p w:rsidR="00000000" w:rsidDel="00000000" w:rsidP="00000000" w:rsidRDefault="00000000" w:rsidRPr="00000000" w14:paraId="000000D0">
      <w:pPr>
        <w:numPr>
          <w:ilvl w:val="0"/>
          <w:numId w:val="3"/>
        </w:numPr>
        <w:spacing w:after="0" w:afterAutospacing="0" w:line="276" w:lineRule="auto"/>
        <w:ind w:left="720" w:hanging="360"/>
        <w:rPr>
          <w:sz w:val="22"/>
          <w:szCs w:val="22"/>
        </w:rPr>
      </w:pPr>
      <w:r w:rsidDel="00000000" w:rsidR="00000000" w:rsidRPr="00000000">
        <w:rPr>
          <w:sz w:val="22"/>
          <w:szCs w:val="22"/>
          <w:rtl w:val="0"/>
        </w:rPr>
        <w:t xml:space="preserve">Promotional Support: The supplier is expected to arrange ad hoc sample sessions and pop-up shops at key University events (e.g., Sports Fair, Varsity, BUCS fixture weeks) to support sales.  As well as provide visual content on Social Media platforms to help promote sales.  </w:t>
      </w:r>
    </w:p>
    <w:p w:rsidR="00000000" w:rsidDel="00000000" w:rsidP="00000000" w:rsidRDefault="00000000" w:rsidRPr="00000000" w14:paraId="000000D1">
      <w:pPr>
        <w:numPr>
          <w:ilvl w:val="0"/>
          <w:numId w:val="3"/>
        </w:numPr>
        <w:spacing w:after="240" w:line="276" w:lineRule="auto"/>
        <w:ind w:left="720" w:hanging="360"/>
        <w:rPr>
          <w:sz w:val="22"/>
          <w:szCs w:val="22"/>
          <w:u w:val="none"/>
        </w:rPr>
      </w:pPr>
      <w:r w:rsidDel="00000000" w:rsidR="00000000" w:rsidRPr="00000000">
        <w:rPr>
          <w:sz w:val="22"/>
          <w:szCs w:val="22"/>
          <w:rtl w:val="0"/>
        </w:rPr>
        <w:t xml:space="preserve">Supplier to provide other Corporate and Social Responsibilities which will add value to the University.  </w:t>
      </w:r>
    </w:p>
    <w:p w:rsidR="00000000" w:rsidDel="00000000" w:rsidP="00000000" w:rsidRDefault="00000000" w:rsidRPr="00000000" w14:paraId="000000D2">
      <w:pPr>
        <w:pStyle w:val="Heading1"/>
        <w:spacing w:after="240" w:lineRule="auto"/>
        <w:rPr>
          <w:sz w:val="10"/>
          <w:szCs w:val="10"/>
        </w:rPr>
      </w:pPr>
      <w:bookmarkStart w:colFirst="0" w:colLast="0" w:name="_heading=h.2pkmwwupx7f8" w:id="11"/>
      <w:bookmarkEnd w:id="11"/>
      <w:r w:rsidDel="00000000" w:rsidR="00000000" w:rsidRPr="00000000">
        <w:rPr>
          <w:rtl w:val="0"/>
        </w:rPr>
        <w:t xml:space="preserve">Service Level/KPIs &amp; Service Credits </w:t>
      </w:r>
      <w:r w:rsidDel="00000000" w:rsidR="00000000" w:rsidRPr="00000000">
        <w:rPr>
          <w:sz w:val="20"/>
          <w:szCs w:val="20"/>
          <w:rtl w:val="0"/>
        </w:rPr>
        <w:t xml:space="preserve">(Subject to change, to be agreed with the awarded supplier) </w:t>
      </w:r>
      <w:r w:rsidDel="00000000" w:rsidR="00000000" w:rsidRPr="00000000">
        <w:rPr>
          <w:rtl w:val="0"/>
        </w:rPr>
      </w:r>
    </w:p>
    <w:tbl>
      <w:tblPr>
        <w:tblStyle w:val="Table6"/>
        <w:tblW w:w="10710.0" w:type="dxa"/>
        <w:jc w:val="left"/>
        <w:tblInd w:w="-6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1350"/>
        <w:gridCol w:w="1035"/>
        <w:gridCol w:w="1445.0000000000005"/>
        <w:gridCol w:w="1149.9999999999995"/>
        <w:gridCol w:w="1380"/>
        <w:gridCol w:w="2520"/>
        <w:tblGridChange w:id="0">
          <w:tblGrid>
            <w:gridCol w:w="1830"/>
            <w:gridCol w:w="1350"/>
            <w:gridCol w:w="1035"/>
            <w:gridCol w:w="1445.0000000000005"/>
            <w:gridCol w:w="1149.9999999999995"/>
            <w:gridCol w:w="1380"/>
            <w:gridCol w:w="2520"/>
          </w:tblGrid>
        </w:tblGridChange>
      </w:tblGrid>
      <w:tr>
        <w:trPr>
          <w:cantSplit w:val="0"/>
          <w:trHeight w:val="761.850585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276" w:lineRule="auto"/>
              <w:rPr>
                <w:b w:val="1"/>
                <w:bCs w:val="1"/>
                <w:sz w:val="22"/>
                <w:szCs w:val="22"/>
              </w:rPr>
            </w:pPr>
            <w:r w:rsidDel="00000000" w:rsidR="00000000" w:rsidRPr="00000000">
              <w:rPr>
                <w:b w:val="1"/>
                <w:bCs w:val="1"/>
                <w:sz w:val="22"/>
                <w:szCs w:val="22"/>
                <w:rtl w:val="0"/>
              </w:rPr>
              <w:t xml:space="preserve">Criteria</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4">
            <w:pPr>
              <w:spacing w:after="240" w:before="240" w:line="276" w:lineRule="auto"/>
              <w:rPr>
                <w:b w:val="1"/>
                <w:bCs w:val="1"/>
                <w:sz w:val="22"/>
                <w:szCs w:val="22"/>
              </w:rPr>
            </w:pPr>
            <w:r w:rsidDel="00000000" w:rsidR="00000000" w:rsidRPr="00000000">
              <w:rPr>
                <w:b w:val="1"/>
                <w:bCs w:val="1"/>
                <w:sz w:val="22"/>
                <w:szCs w:val="22"/>
                <w:rtl w:val="0"/>
              </w:rPr>
              <w:t xml:space="preserve">Sub Criteria</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276" w:lineRule="auto"/>
              <w:rPr>
                <w:b w:val="1"/>
                <w:bCs w:val="1"/>
                <w:sz w:val="22"/>
                <w:szCs w:val="22"/>
              </w:rPr>
            </w:pPr>
            <w:r w:rsidDel="00000000" w:rsidR="00000000" w:rsidRPr="00000000">
              <w:rPr>
                <w:b w:val="1"/>
                <w:bCs w:val="1"/>
                <w:sz w:val="22"/>
                <w:szCs w:val="22"/>
                <w:rtl w:val="0"/>
              </w:rPr>
              <w:t xml:space="preserve">KPI</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6">
            <w:pPr>
              <w:spacing w:after="240" w:before="240" w:line="276" w:lineRule="auto"/>
              <w:rPr>
                <w:b w:val="1"/>
                <w:bCs w:val="1"/>
                <w:sz w:val="22"/>
                <w:szCs w:val="22"/>
              </w:rPr>
            </w:pPr>
            <w:r w:rsidDel="00000000" w:rsidR="00000000" w:rsidRPr="00000000">
              <w:rPr>
                <w:b w:val="1"/>
                <w:bCs w:val="1"/>
                <w:sz w:val="22"/>
                <w:szCs w:val="22"/>
                <w:rtl w:val="0"/>
              </w:rPr>
              <w:t xml:space="preserve">Measure</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276" w:lineRule="auto"/>
              <w:rPr>
                <w:b w:val="1"/>
                <w:bCs w:val="1"/>
                <w:sz w:val="22"/>
                <w:szCs w:val="22"/>
              </w:rPr>
            </w:pPr>
            <w:r w:rsidDel="00000000" w:rsidR="00000000" w:rsidRPr="00000000">
              <w:rPr>
                <w:b w:val="1"/>
                <w:bCs w:val="1"/>
                <w:sz w:val="22"/>
                <w:szCs w:val="22"/>
                <w:rtl w:val="0"/>
              </w:rPr>
              <w:t xml:space="preserve">Target</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8">
            <w:pPr>
              <w:spacing w:after="240" w:before="240" w:line="276" w:lineRule="auto"/>
              <w:rPr>
                <w:b w:val="1"/>
                <w:bCs w:val="1"/>
                <w:sz w:val="22"/>
                <w:szCs w:val="22"/>
              </w:rPr>
            </w:pPr>
            <w:r w:rsidDel="00000000" w:rsidR="00000000" w:rsidRPr="00000000">
              <w:rPr>
                <w:b w:val="1"/>
                <w:bCs w:val="1"/>
                <w:sz w:val="22"/>
                <w:szCs w:val="22"/>
                <w:rtl w:val="0"/>
              </w:rPr>
              <w:t xml:space="preserve">Frequency</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9">
            <w:pPr>
              <w:spacing w:after="240" w:before="240" w:line="276" w:lineRule="auto"/>
              <w:rPr>
                <w:b w:val="1"/>
                <w:bCs w:val="1"/>
                <w:sz w:val="22"/>
                <w:szCs w:val="22"/>
              </w:rPr>
            </w:pPr>
            <w:r w:rsidDel="00000000" w:rsidR="00000000" w:rsidRPr="00000000">
              <w:rPr>
                <w:b w:val="1"/>
                <w:bCs w:val="1"/>
                <w:sz w:val="22"/>
                <w:szCs w:val="22"/>
                <w:rtl w:val="0"/>
              </w:rPr>
              <w:t xml:space="preserve">Consequence</w:t>
            </w:r>
          </w:p>
        </w:tc>
      </w:tr>
      <w:tr>
        <w:trPr>
          <w:cantSplit w:val="0"/>
          <w:trHeight w:val="73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A">
            <w:pPr>
              <w:spacing w:line="276" w:lineRule="auto"/>
              <w:rPr>
                <w:sz w:val="22"/>
                <w:szCs w:val="22"/>
              </w:rPr>
            </w:pPr>
            <w:r w:rsidDel="00000000" w:rsidR="00000000" w:rsidRPr="00000000">
              <w:rPr>
                <w:sz w:val="22"/>
                <w:szCs w:val="22"/>
                <w:rtl w:val="0"/>
              </w:rPr>
              <w:t xml:space="preserve">Delivery</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B">
            <w:pPr>
              <w:spacing w:line="276" w:lineRule="auto"/>
              <w:rPr>
                <w:sz w:val="22"/>
                <w:szCs w:val="22"/>
              </w:rPr>
            </w:pPr>
            <w:r w:rsidDel="00000000" w:rsidR="00000000" w:rsidRPr="00000000">
              <w:rPr>
                <w:sz w:val="22"/>
                <w:szCs w:val="22"/>
                <w:rtl w:val="0"/>
              </w:rPr>
              <w:t xml:space="preserve">On Time Delivery Rate of Bulk Order</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C">
            <w:pPr>
              <w:spacing w:line="276" w:lineRule="auto"/>
              <w:rPr>
                <w:sz w:val="22"/>
                <w:szCs w:val="22"/>
              </w:rPr>
            </w:pPr>
            <w:r w:rsidDel="00000000" w:rsidR="00000000" w:rsidRPr="00000000">
              <w:rPr>
                <w:sz w:val="22"/>
                <w:szCs w:val="22"/>
                <w:rtl w:val="0"/>
              </w:rPr>
              <w:t xml:space="preserve">100%</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D">
            <w:pPr>
              <w:spacing w:line="276" w:lineRule="auto"/>
              <w:rPr>
                <w:sz w:val="22"/>
                <w:szCs w:val="22"/>
              </w:rPr>
            </w:pPr>
            <w:r w:rsidDel="00000000" w:rsidR="00000000" w:rsidRPr="00000000">
              <w:rPr>
                <w:sz w:val="22"/>
                <w:szCs w:val="22"/>
                <w:rtl w:val="0"/>
              </w:rPr>
              <w:t xml:space="preserve">Deliveries arriving on time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E">
            <w:pPr>
              <w:spacing w:line="276" w:lineRule="auto"/>
              <w:rPr>
                <w:sz w:val="22"/>
                <w:szCs w:val="22"/>
              </w:rPr>
            </w:pPr>
            <w:r w:rsidDel="00000000" w:rsidR="00000000" w:rsidRPr="00000000">
              <w:rPr>
                <w:sz w:val="22"/>
                <w:szCs w:val="22"/>
                <w:rtl w:val="0"/>
              </w:rPr>
              <w:t xml:space="preserve">95%</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F">
            <w:pPr>
              <w:spacing w:line="276" w:lineRule="auto"/>
              <w:rPr>
                <w:sz w:val="22"/>
                <w:szCs w:val="22"/>
              </w:rPr>
            </w:pPr>
            <w:r w:rsidDel="00000000" w:rsidR="00000000" w:rsidRPr="00000000">
              <w:rPr>
                <w:sz w:val="22"/>
                <w:szCs w:val="22"/>
                <w:rtl w:val="0"/>
              </w:rPr>
              <w:t xml:space="preserve">Each Delivery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0">
            <w:pPr>
              <w:spacing w:line="276" w:lineRule="auto"/>
              <w:rPr>
                <w:sz w:val="22"/>
                <w:szCs w:val="22"/>
              </w:rPr>
            </w:pPr>
            <w:r w:rsidDel="00000000" w:rsidR="00000000" w:rsidRPr="00000000">
              <w:rPr>
                <w:sz w:val="22"/>
                <w:szCs w:val="22"/>
                <w:rtl w:val="0"/>
              </w:rPr>
              <w:t xml:space="preserve">Service credit is triggered if the delivery does not arrive on its expected date.  For every day late a 5% reduction in the price is returned</w:t>
            </w:r>
          </w:p>
        </w:tc>
      </w:tr>
      <w:tr>
        <w:trPr>
          <w:cantSplit w:val="0"/>
          <w:trHeight w:val="735"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spacing w:line="276" w:lineRule="auto"/>
              <w:rPr>
                <w:sz w:val="22"/>
                <w:szCs w:val="22"/>
              </w:rPr>
            </w:pPr>
            <w:r w:rsidDel="00000000" w:rsidR="00000000" w:rsidRPr="00000000">
              <w:rPr>
                <w:sz w:val="22"/>
                <w:szCs w:val="22"/>
                <w:rtl w:val="0"/>
              </w:rPr>
              <w:t xml:space="preserve">Quality</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spacing w:line="276" w:lineRule="auto"/>
              <w:rPr>
                <w:sz w:val="22"/>
                <w:szCs w:val="22"/>
              </w:rPr>
            </w:pPr>
            <w:r w:rsidDel="00000000" w:rsidR="00000000" w:rsidRPr="00000000">
              <w:rPr>
                <w:sz w:val="22"/>
                <w:szCs w:val="22"/>
                <w:rtl w:val="0"/>
              </w:rPr>
              <w:t xml:space="preserve">Fit and Comfort Rating</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spacing w:line="276" w:lineRule="auto"/>
              <w:rPr>
                <w:sz w:val="22"/>
                <w:szCs w:val="22"/>
              </w:rPr>
            </w:pPr>
            <w:r w:rsidDel="00000000" w:rsidR="00000000" w:rsidRPr="00000000">
              <w:rPr>
                <w:sz w:val="22"/>
                <w:szCs w:val="22"/>
                <w:rtl w:val="0"/>
              </w:rPr>
              <w:t xml:space="preserve">100%</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spacing w:line="276" w:lineRule="auto"/>
              <w:rPr>
                <w:sz w:val="22"/>
                <w:szCs w:val="22"/>
              </w:rPr>
            </w:pPr>
            <w:r w:rsidDel="00000000" w:rsidR="00000000" w:rsidRPr="00000000">
              <w:rPr>
                <w:sz w:val="22"/>
                <w:szCs w:val="22"/>
                <w:rtl w:val="0"/>
              </w:rPr>
              <w:t xml:space="preserve">Student Feedback Surveys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5">
            <w:pPr>
              <w:spacing w:line="276" w:lineRule="auto"/>
              <w:rPr>
                <w:sz w:val="22"/>
                <w:szCs w:val="22"/>
              </w:rPr>
            </w:pPr>
            <w:r w:rsidDel="00000000" w:rsidR="00000000" w:rsidRPr="00000000">
              <w:rPr>
                <w:sz w:val="22"/>
                <w:szCs w:val="22"/>
                <w:rtl w:val="0"/>
              </w:rPr>
              <w:t xml:space="preserve">90%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6">
            <w:pPr>
              <w:spacing w:line="276" w:lineRule="auto"/>
              <w:rPr>
                <w:sz w:val="22"/>
                <w:szCs w:val="22"/>
              </w:rPr>
            </w:pPr>
            <w:r w:rsidDel="00000000" w:rsidR="00000000" w:rsidRPr="00000000">
              <w:rPr>
                <w:sz w:val="22"/>
                <w:szCs w:val="22"/>
                <w:rtl w:val="0"/>
              </w:rPr>
              <w:t xml:space="preserve">Annually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7">
            <w:pPr>
              <w:spacing w:line="276" w:lineRule="auto"/>
              <w:rPr>
                <w:sz w:val="22"/>
                <w:szCs w:val="22"/>
              </w:rPr>
            </w:pPr>
            <w:r w:rsidDel="00000000" w:rsidR="00000000" w:rsidRPr="00000000">
              <w:rPr>
                <w:sz w:val="22"/>
                <w:szCs w:val="22"/>
                <w:rtl w:val="0"/>
              </w:rPr>
              <w:t xml:space="preserve">If target is not met then supplier would be expected to discuss an improvement plan                                                                                    </w:t>
            </w:r>
          </w:p>
        </w:tc>
      </w:tr>
      <w:tr>
        <w:trPr>
          <w:cantSplit w:val="0"/>
          <w:trHeight w:val="73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spacing w:line="276" w:lineRule="auto"/>
              <w:rPr>
                <w:sz w:val="22"/>
                <w:szCs w:val="22"/>
              </w:rPr>
            </w:pPr>
            <w:r w:rsidDel="00000000" w:rsidR="00000000" w:rsidRPr="00000000">
              <w:rPr>
                <w:sz w:val="22"/>
                <w:szCs w:val="22"/>
                <w:rtl w:val="0"/>
              </w:rPr>
              <w:t xml:space="preserve">Embroidery/Printing</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A">
            <w:pPr>
              <w:spacing w:line="276" w:lineRule="auto"/>
              <w:rPr>
                <w:sz w:val="22"/>
                <w:szCs w:val="22"/>
              </w:rPr>
            </w:pPr>
            <w:r w:rsidDel="00000000" w:rsidR="00000000" w:rsidRPr="00000000">
              <w:rPr>
                <w:sz w:val="22"/>
                <w:szCs w:val="22"/>
                <w:rtl w:val="0"/>
              </w:rPr>
              <w:t xml:space="preserve">100%</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B">
            <w:pPr>
              <w:spacing w:line="276" w:lineRule="auto"/>
              <w:rPr>
                <w:sz w:val="22"/>
                <w:szCs w:val="22"/>
              </w:rPr>
            </w:pPr>
            <w:r w:rsidDel="00000000" w:rsidR="00000000" w:rsidRPr="00000000">
              <w:rPr>
                <w:sz w:val="22"/>
                <w:szCs w:val="22"/>
                <w:rtl w:val="0"/>
              </w:rPr>
              <w:t xml:space="preserve">Complaints</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spacing w:line="276" w:lineRule="auto"/>
              <w:rPr>
                <w:sz w:val="22"/>
                <w:szCs w:val="22"/>
              </w:rPr>
            </w:pPr>
            <w:r w:rsidDel="00000000" w:rsidR="00000000" w:rsidRPr="00000000">
              <w:rPr>
                <w:sz w:val="22"/>
                <w:szCs w:val="22"/>
                <w:rtl w:val="0"/>
              </w:rPr>
              <w:t xml:space="preserve">95%</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spacing w:line="276" w:lineRule="auto"/>
              <w:rPr>
                <w:sz w:val="22"/>
                <w:szCs w:val="22"/>
              </w:rPr>
            </w:pPr>
            <w:r w:rsidDel="00000000" w:rsidR="00000000" w:rsidRPr="00000000">
              <w:rPr>
                <w:sz w:val="22"/>
                <w:szCs w:val="22"/>
                <w:rtl w:val="0"/>
              </w:rPr>
              <w:t xml:space="preserve">Each order</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spacing w:line="276" w:lineRule="auto"/>
              <w:rPr>
                <w:sz w:val="22"/>
                <w:szCs w:val="22"/>
              </w:rPr>
            </w:pPr>
            <w:r w:rsidDel="00000000" w:rsidR="00000000" w:rsidRPr="00000000">
              <w:rPr>
                <w:sz w:val="22"/>
                <w:szCs w:val="22"/>
                <w:rtl w:val="0"/>
              </w:rPr>
              <w:t xml:space="preserve">If stitching or lettering falls off, a new replacement item to be sent (timeline to be agreed with awarded supplier) </w:t>
            </w:r>
          </w:p>
        </w:tc>
      </w:tr>
      <w:tr>
        <w:trPr>
          <w:cantSplit w:val="0"/>
          <w:trHeight w:val="73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spacing w:line="276" w:lineRule="auto"/>
              <w:rPr>
                <w:sz w:val="22"/>
                <w:szCs w:val="22"/>
              </w:rPr>
            </w:pPr>
            <w:r w:rsidDel="00000000" w:rsidR="00000000" w:rsidRPr="00000000">
              <w:rPr>
                <w:sz w:val="22"/>
                <w:szCs w:val="22"/>
                <w:rtl w:val="0"/>
              </w:rPr>
              <w:t xml:space="preserve">Responsiveness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0">
            <w:pPr>
              <w:spacing w:line="276" w:lineRule="auto"/>
              <w:rPr>
                <w:sz w:val="22"/>
                <w:szCs w:val="22"/>
              </w:rPr>
            </w:pPr>
            <w:r w:rsidDel="00000000" w:rsidR="00000000" w:rsidRPr="00000000">
              <w:rPr>
                <w:sz w:val="22"/>
                <w:szCs w:val="22"/>
                <w:rtl w:val="0"/>
              </w:rPr>
              <w:t xml:space="preserve">Account Manager communications</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spacing w:line="276" w:lineRule="auto"/>
              <w:rPr>
                <w:sz w:val="22"/>
                <w:szCs w:val="22"/>
              </w:rPr>
            </w:pPr>
            <w:r w:rsidDel="00000000" w:rsidR="00000000" w:rsidRPr="00000000">
              <w:rPr>
                <w:sz w:val="22"/>
                <w:szCs w:val="22"/>
                <w:rtl w:val="0"/>
              </w:rPr>
              <w:t xml:space="preserve">100%</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spacing w:line="276" w:lineRule="auto"/>
              <w:rPr>
                <w:sz w:val="22"/>
                <w:szCs w:val="22"/>
              </w:rPr>
            </w:pPr>
            <w:r w:rsidDel="00000000" w:rsidR="00000000" w:rsidRPr="00000000">
              <w:rPr>
                <w:sz w:val="22"/>
                <w:szCs w:val="22"/>
                <w:rtl w:val="0"/>
              </w:rPr>
              <w:t xml:space="preserve">Email or call responses within 2 working days</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spacing w:line="276" w:lineRule="auto"/>
              <w:rPr>
                <w:sz w:val="22"/>
                <w:szCs w:val="22"/>
              </w:rPr>
            </w:pPr>
            <w:r w:rsidDel="00000000" w:rsidR="00000000" w:rsidRPr="00000000">
              <w:rPr>
                <w:sz w:val="22"/>
                <w:szCs w:val="22"/>
                <w:rtl w:val="0"/>
              </w:rPr>
              <w:t xml:space="preserve">100%</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4">
            <w:pPr>
              <w:spacing w:line="276" w:lineRule="auto"/>
              <w:rPr>
                <w:sz w:val="22"/>
                <w:szCs w:val="22"/>
              </w:rPr>
            </w:pPr>
            <w:r w:rsidDel="00000000" w:rsidR="00000000" w:rsidRPr="00000000">
              <w:rPr>
                <w:sz w:val="22"/>
                <w:szCs w:val="22"/>
                <w:rtl w:val="0"/>
              </w:rPr>
              <w:t xml:space="preserve">After each communication made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5">
            <w:pPr>
              <w:spacing w:line="276" w:lineRule="auto"/>
              <w:rPr>
                <w:sz w:val="22"/>
                <w:szCs w:val="22"/>
              </w:rPr>
            </w:pPr>
            <w:r w:rsidDel="00000000" w:rsidR="00000000" w:rsidRPr="00000000">
              <w:rPr>
                <w:sz w:val="22"/>
                <w:szCs w:val="22"/>
                <w:rtl w:val="0"/>
              </w:rPr>
              <w:t xml:space="preserve">If target is not met then supplier would be expected to discuss an improvement plan </w:t>
            </w:r>
          </w:p>
        </w:tc>
      </w:tr>
    </w:tbl>
    <w:p w:rsidR="00000000" w:rsidDel="00000000" w:rsidP="00000000" w:rsidRDefault="00000000" w:rsidRPr="00000000" w14:paraId="000000F6">
      <w:pPr>
        <w:spacing w:line="276" w:lineRule="auto"/>
        <w:rPr>
          <w:sz w:val="22"/>
          <w:szCs w:val="22"/>
        </w:rPr>
      </w:pPr>
      <w:r w:rsidDel="00000000" w:rsidR="00000000" w:rsidRPr="00000000">
        <w:rPr>
          <w:rtl w:val="0"/>
        </w:rPr>
      </w:r>
    </w:p>
    <w:p w:rsidR="00000000" w:rsidDel="00000000" w:rsidP="00000000" w:rsidRDefault="00000000" w:rsidRPr="00000000" w14:paraId="000000F7">
      <w:pPr>
        <w:pStyle w:val="Heading1"/>
        <w:spacing w:after="240" w:lineRule="auto"/>
        <w:rPr/>
      </w:pPr>
      <w:bookmarkStart w:colFirst="0" w:colLast="0" w:name="_heading=h.kvkpk3yjyu6m" w:id="12"/>
      <w:bookmarkEnd w:id="12"/>
      <w:r w:rsidDel="00000000" w:rsidR="00000000" w:rsidRPr="00000000">
        <w:rPr>
          <w:rtl w:val="0"/>
        </w:rPr>
        <w:t xml:space="preserve">Data &amp; GDPR</w:t>
      </w:r>
    </w:p>
    <w:p w:rsidR="00000000" w:rsidDel="00000000" w:rsidP="00000000" w:rsidRDefault="00000000" w:rsidRPr="00000000" w14:paraId="000000F8">
      <w:pPr>
        <w:widowControl w:val="0"/>
        <w:spacing w:line="276" w:lineRule="auto"/>
        <w:rPr>
          <w:sz w:val="22"/>
          <w:szCs w:val="22"/>
        </w:rPr>
      </w:pPr>
      <w:r w:rsidDel="00000000" w:rsidR="00000000" w:rsidRPr="00000000">
        <w:rPr>
          <w:sz w:val="22"/>
          <w:szCs w:val="22"/>
          <w:rtl w:val="0"/>
        </w:rPr>
        <w:t xml:space="preserve">The University would expect all suppliers to adhere strictly to the Data Protection Act 2018 as well as the UK GDPR. </w:t>
      </w:r>
    </w:p>
    <w:p w:rsidR="00000000" w:rsidDel="00000000" w:rsidP="00000000" w:rsidRDefault="00000000" w:rsidRPr="00000000" w14:paraId="000000F9">
      <w:pPr>
        <w:spacing w:after="240" w:lineRule="auto"/>
        <w:rPr>
          <w:i w:val="1"/>
          <w:iCs w:val="1"/>
          <w:sz w:val="22"/>
          <w:szCs w:val="22"/>
          <w:highlight w:val="yellow"/>
        </w:rPr>
      </w:pPr>
      <w:r w:rsidDel="00000000" w:rsidR="00000000" w:rsidRPr="00000000">
        <w:rPr>
          <w:rtl w:val="0"/>
        </w:rPr>
      </w:r>
    </w:p>
    <w:p w:rsidR="00000000" w:rsidDel="00000000" w:rsidP="00000000" w:rsidRDefault="00000000" w:rsidRPr="00000000" w14:paraId="000000FA">
      <w:pPr>
        <w:pStyle w:val="Heading1"/>
        <w:spacing w:after="240" w:lineRule="auto"/>
        <w:rPr/>
      </w:pPr>
      <w:bookmarkStart w:colFirst="0" w:colLast="0" w:name="_heading=h.y2qes15ycu55" w:id="13"/>
      <w:bookmarkEnd w:id="13"/>
      <w:r w:rsidDel="00000000" w:rsidR="00000000" w:rsidRPr="00000000">
        <w:rPr>
          <w:rtl w:val="0"/>
        </w:rPr>
        <w:t xml:space="preserve">Key Dependencies </w:t>
      </w:r>
      <w:r w:rsidDel="00000000" w:rsidR="00000000" w:rsidRPr="00000000">
        <w:rPr>
          <w:rtl w:val="0"/>
        </w:rPr>
      </w:r>
    </w:p>
    <w:p w:rsidR="00000000" w:rsidDel="00000000" w:rsidP="00000000" w:rsidRDefault="00000000" w:rsidRPr="00000000" w14:paraId="000000FB">
      <w:pPr>
        <w:spacing w:after="240" w:lineRule="auto"/>
        <w:jc w:val="both"/>
        <w:rPr>
          <w:b w:val="1"/>
          <w:bCs w:val="1"/>
          <w:color w:val="005abb"/>
          <w:sz w:val="36"/>
          <w:szCs w:val="36"/>
        </w:rPr>
      </w:pPr>
      <w:r w:rsidDel="00000000" w:rsidR="00000000" w:rsidRPr="00000000">
        <w:rPr>
          <w:sz w:val="22"/>
          <w:szCs w:val="22"/>
          <w:rtl w:val="0"/>
        </w:rPr>
        <w:t xml:space="preserve">Based on the specification, the University has considered what key dependencies may impact the delivery of the requirement and/or the effectiveness of the solution within the table below:</w:t>
      </w:r>
      <w:r w:rsidDel="00000000" w:rsidR="00000000" w:rsidRPr="00000000">
        <w:rPr>
          <w:rtl w:val="0"/>
        </w:rPr>
      </w:r>
    </w:p>
    <w:sdt>
      <w:sdtPr>
        <w:lock w:val="contentLocked"/>
        <w:id w:val="-858753559"/>
        <w:tag w:val="goog_rdk_1"/>
      </w:sdtPr>
      <w:sdtContent>
        <w:tbl>
          <w:tblPr>
            <w:tblStyle w:val="Table7"/>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2445"/>
            <w:gridCol w:w="2460"/>
            <w:gridCol w:w="2790"/>
            <w:tblGridChange w:id="0">
              <w:tblGrid>
                <w:gridCol w:w="1905"/>
                <w:gridCol w:w="2445"/>
                <w:gridCol w:w="2460"/>
                <w:gridCol w:w="27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Dependency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Impact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Mitigation Options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Logo /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Failure to use our branded logo or steer on designs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Institutional brand and reputation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Pre-production Sign-off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Durability &amp; Performance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Poor durability and short lifespan of products, and inappropriate for its purpose/sport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Supplier reputation damaged, resources and time being used up for repeat orders/replacements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Clearly Defined Performance Specifications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Manufacturing Capacity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Clothing not being batched together on delivery, delays due to slow manufacturing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Orders not delivered on time, customer complaints due to waiting.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Clear Delivery Schedule &amp; Lead Times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Sizing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Poor sizing that doesn’t fit the customers appropriately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Reordering and increased workload. Poor image.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Sizing Specification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Contingency Planning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Lack of alternative solutions should problems arise, i.e. fire at the manufacturing site, online store hacked.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Unable to fulfill contractual delivery times, data protection,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Business Continuity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Stockholding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Lack of reserve stock items meaning more is required from the manufacturer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Lead times extended and customers waiting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Buffer Stock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Unit 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Increase in cost to the customer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Unaffordability and low sales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Clear Pricing Mechanism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Volume Discounts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Supplier not providing appropriate discounts for bulk orders on teamwear items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Lower sales / ordering. Customer dissatisfaction.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Tiered Discount Structure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Certification &amp; Quality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Failure to produce appropriate industry quality marks / certificates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Distrust from customers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Certifications </w:t>
                </w:r>
              </w:p>
            </w:tc>
          </w:tr>
        </w:tbl>
      </w:sdtContent>
    </w:sdt>
    <w:p w:rsidR="00000000" w:rsidDel="00000000" w:rsidP="00000000" w:rsidRDefault="00000000" w:rsidRPr="00000000" w14:paraId="00000124">
      <w:pPr>
        <w:spacing w:after="0" w:before="0" w:lineRule="auto"/>
        <w:rPr>
          <w:b w:val="1"/>
          <w:bCs w:val="1"/>
          <w:color w:val="005abb"/>
          <w:sz w:val="36"/>
          <w:szCs w:val="36"/>
        </w:rPr>
      </w:pPr>
      <w:r w:rsidDel="00000000" w:rsidR="00000000" w:rsidRPr="00000000">
        <w:rPr>
          <w:rtl w:val="0"/>
        </w:rPr>
      </w:r>
    </w:p>
    <w:p w:rsidR="00000000" w:rsidDel="00000000" w:rsidP="00000000" w:rsidRDefault="00000000" w:rsidRPr="00000000" w14:paraId="00000125">
      <w:pPr>
        <w:pStyle w:val="Heading1"/>
        <w:spacing w:after="240" w:lineRule="auto"/>
        <w:rPr/>
      </w:pPr>
      <w:bookmarkStart w:colFirst="0" w:colLast="0" w:name="_heading=h.7ts7walhu77w" w:id="14"/>
      <w:bookmarkEnd w:id="14"/>
      <w:r w:rsidDel="00000000" w:rsidR="00000000" w:rsidRPr="00000000">
        <w:rPr>
          <w:rtl w:val="0"/>
        </w:rPr>
        <w:t xml:space="preserve">Contractual Risks </w:t>
      </w:r>
    </w:p>
    <w:p w:rsidR="00000000" w:rsidDel="00000000" w:rsidP="00000000" w:rsidRDefault="00000000" w:rsidRPr="00000000" w14:paraId="00000126">
      <w:pPr>
        <w:spacing w:after="240" w:lineRule="auto"/>
        <w:jc w:val="both"/>
        <w:rPr>
          <w:sz w:val="22"/>
          <w:szCs w:val="22"/>
        </w:rPr>
      </w:pPr>
      <w:r w:rsidDel="00000000" w:rsidR="00000000" w:rsidRPr="00000000">
        <w:rPr>
          <w:sz w:val="22"/>
          <w:szCs w:val="22"/>
          <w:rtl w:val="0"/>
        </w:rPr>
        <w:t xml:space="preserve">There may be a range of contractual risks which the University cannot precisely address at the contract award stage. The University has therefore provided a table of unquantifiable but manageable risks along with suggested contractual approaches for mitigation through permitted contract modifications, aligned with the Procurement Act 2023, for your reference. </w:t>
      </w:r>
    </w:p>
    <w:sdt>
      <w:sdtPr>
        <w:lock w:val="contentLocked"/>
        <w:id w:val="1204968612"/>
        <w:tag w:val="goog_rdk_2"/>
      </w:sdtPr>
      <w:sdtContent>
        <w:tbl>
          <w:tblPr>
            <w:tblStyle w:val="Table8"/>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3645"/>
            <w:gridCol w:w="2010"/>
            <w:gridCol w:w="2400"/>
            <w:tblGridChange w:id="0">
              <w:tblGrid>
                <w:gridCol w:w="1545"/>
                <w:gridCol w:w="3645"/>
                <w:gridCol w:w="2010"/>
                <w:gridCol w:w="240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Description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Mitigation Option(s)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u w:val="non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sdtContent>
    </w:sdt>
    <w:p w:rsidR="00000000" w:rsidDel="00000000" w:rsidP="00000000" w:rsidRDefault="00000000" w:rsidRPr="00000000" w14:paraId="0000013B">
      <w:pPr>
        <w:spacing w:after="240" w:lineRule="auto"/>
        <w:ind w:left="0" w:firstLine="0"/>
        <w:jc w:val="both"/>
        <w:rPr>
          <w:sz w:val="22"/>
          <w:szCs w:val="22"/>
        </w:rPr>
      </w:pPr>
      <w:r w:rsidDel="00000000" w:rsidR="00000000" w:rsidRPr="00000000">
        <w:rPr>
          <w:rtl w:val="0"/>
        </w:rPr>
      </w:r>
    </w:p>
    <w:p w:rsidR="00000000" w:rsidDel="00000000" w:rsidP="00000000" w:rsidRDefault="00000000" w:rsidRPr="00000000" w14:paraId="0000013C">
      <w:pPr>
        <w:pStyle w:val="Heading1"/>
        <w:spacing w:after="240" w:lineRule="auto"/>
        <w:rPr/>
      </w:pPr>
      <w:bookmarkStart w:colFirst="0" w:colLast="0" w:name="_heading=h.tr4qewv261r8" w:id="15"/>
      <w:bookmarkEnd w:id="15"/>
      <w:r w:rsidDel="00000000" w:rsidR="00000000" w:rsidRPr="00000000">
        <w:rPr>
          <w:rtl w:val="0"/>
        </w:rPr>
        <w:t xml:space="preserve">Data Room</w:t>
      </w:r>
    </w:p>
    <w:p w:rsidR="00000000" w:rsidDel="00000000" w:rsidP="00000000" w:rsidRDefault="00000000" w:rsidRPr="00000000" w14:paraId="0000013D">
      <w:pPr>
        <w:spacing w:after="240" w:lineRule="auto"/>
        <w:rPr>
          <w:b w:val="1"/>
          <w:bCs w:val="1"/>
          <w:color w:val="005abb"/>
          <w:sz w:val="36"/>
          <w:szCs w:val="36"/>
        </w:rPr>
      </w:pPr>
      <w:r w:rsidDel="00000000" w:rsidR="00000000" w:rsidRPr="00000000">
        <w:rPr>
          <w:b w:val="1"/>
          <w:bCs w:val="1"/>
          <w:sz w:val="22"/>
          <w:szCs w:val="22"/>
          <w:rtl w:val="0"/>
        </w:rPr>
        <w:t xml:space="preserve">Not Used </w:t>
      </w:r>
      <w:r w:rsidDel="00000000" w:rsidR="00000000" w:rsidRPr="00000000">
        <w:rPr>
          <w:rtl w:val="0"/>
        </w:rPr>
      </w:r>
    </w:p>
    <w:sectPr>
      <w:headerReference r:id="rId14" w:type="default"/>
      <w:footerReference r:id="rId15" w:type="default"/>
      <w:type w:val="nextPage"/>
      <w:pgSz w:h="16838" w:w="11906" w:orient="portrait"/>
      <w:pgMar w:bottom="1134" w:top="1417" w:left="1134" w:right="1134" w:header="567" w:footer="3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tabs>
        <w:tab w:val="center" w:leader="none" w:pos="4820"/>
      </w:tabs>
      <w:spacing w:after="120" w:line="192" w:lineRule="auto"/>
      <w:rPr>
        <w:color w:val="000000"/>
        <w:sz w:val="20"/>
        <w:szCs w:val="20"/>
      </w:rPr>
    </w:pPr>
    <w:r w:rsidDel="00000000" w:rsidR="00000000" w:rsidRPr="00000000">
      <w:rPr>
        <w:color w:val="000000"/>
        <w:sz w:val="10"/>
        <w:szCs w:val="10"/>
        <w:rtl w:val="0"/>
      </w:rPr>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tabs>
        <w:tab w:val="center" w:leader="none" w:pos="4820"/>
      </w:tabs>
      <w:spacing w:after="120" w:line="192" w:lineRule="auto"/>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sz w:val="20"/>
        <w:szCs w:val="20"/>
        <w:highlight w:val="yellow"/>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tabs>
        <w:tab w:val="center" w:leader="none" w:pos="4820"/>
      </w:tabs>
      <w:spacing w:after="120" w:line="192" w:lineRule="auto"/>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highlight w:val="yellow"/>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center" w:leader="none" w:pos="4513"/>
        <w:tab w:val="right" w:leader="none" w:pos="9026"/>
        <w:tab w:val="left" w:leader="none" w:pos="6945"/>
      </w:tabs>
      <w:ind w:left="1440" w:firstLine="0"/>
      <w:jc w:val="right"/>
      <w:rPr>
        <w:rFonts w:ascii="Arial" w:cs="Arial" w:eastAsia="Arial" w:hAnsi="Arial"/>
        <w:color w:val="000000"/>
      </w:rPr>
    </w:pPr>
    <w:r w:rsidDel="00000000" w:rsidR="00000000" w:rsidRPr="00000000">
      <w:rPr/>
      <w:drawing>
        <wp:inline distB="0" distT="0" distL="0" distR="0">
          <wp:extent cx="1634490" cy="933450"/>
          <wp:effectExtent b="0" l="0" r="0" t="0"/>
          <wp:docPr descr="A4portrait_logo_blank" id="1737691254" name="image1.jpg"/>
          <a:graphic>
            <a:graphicData uri="http://schemas.openxmlformats.org/drawingml/2006/picture">
              <pic:pic>
                <pic:nvPicPr>
                  <pic:cNvPr descr="A4portrait_logo_blank" id="0" name="image1.jpg"/>
                  <pic:cNvPicPr preferRelativeResize="0"/>
                </pic:nvPicPr>
                <pic:blipFill>
                  <a:blip r:embed="rId1"/>
                  <a:srcRect b="0" l="68397" r="0" t="0"/>
                  <a:stretch>
                    <a:fillRect/>
                  </a:stretch>
                </pic:blipFill>
                <pic:spPr>
                  <a:xfrm>
                    <a:off x="0" y="0"/>
                    <a:ext cx="1634490" cy="933450"/>
                  </a:xfrm>
                  <a:prstGeom prst="rect"/>
                  <a:ln/>
                </pic:spPr>
              </pic:pic>
            </a:graphicData>
          </a:graphic>
        </wp:inline>
      </w:drawing>
    </w:r>
    <w:r w:rsidDel="00000000" w:rsidR="00000000" w:rsidRPr="00000000">
      <w:rPr>
        <w:rFonts w:ascii="Arial" w:cs="Arial" w:eastAsia="Arial" w:hAnsi="Arial"/>
        <w:color w:val="000000"/>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947420" cy="947420"/>
          <wp:effectExtent b="0" l="0" r="0" t="0"/>
          <wp:docPr descr="Government Commercial Function logo" id="1737691256" name="image2.jpg"/>
          <a:graphic>
            <a:graphicData uri="http://schemas.openxmlformats.org/drawingml/2006/picture">
              <pic:pic>
                <pic:nvPicPr>
                  <pic:cNvPr descr="Government Commercial Function logo" id="0" name="image2.jpg"/>
                  <pic:cNvPicPr preferRelativeResize="0"/>
                </pic:nvPicPr>
                <pic:blipFill>
                  <a:blip r:embed="rId1"/>
                  <a:srcRect b="0" l="0" r="0" t="0"/>
                  <a:stretch>
                    <a:fillRect/>
                  </a:stretch>
                </pic:blipFill>
                <pic:spPr>
                  <a:xfrm>
                    <a:off x="0" y="0"/>
                    <a:ext cx="947420" cy="94742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tabs>
        <w:tab w:val="center" w:leader="none" w:pos="4513"/>
        <w:tab w:val="right" w:leader="none" w:pos="9026"/>
        <w:tab w:val="left" w:leader="none" w:pos="6945"/>
      </w:tabs>
      <w:ind w:left="1440" w:firstLine="0"/>
      <w:jc w:val="right"/>
      <w:rPr>
        <w:rFonts w:ascii="Arial" w:cs="Arial" w:eastAsia="Arial" w:hAnsi="Arial"/>
        <w:color w:val="000000"/>
        <w:highlight w:val="yellow"/>
      </w:rPr>
    </w:pPr>
    <w:r w:rsidDel="00000000" w:rsidR="00000000" w:rsidRPr="00000000">
      <w:rPr/>
      <w:drawing>
        <wp:inline distB="0" distT="0" distL="0" distR="0">
          <wp:extent cx="1634490" cy="933450"/>
          <wp:effectExtent b="0" l="0" r="0" t="0"/>
          <wp:docPr descr="A4portrait_logo_blank" id="1737691255" name="image1.jpg"/>
          <a:graphic>
            <a:graphicData uri="http://schemas.openxmlformats.org/drawingml/2006/picture">
              <pic:pic>
                <pic:nvPicPr>
                  <pic:cNvPr descr="A4portrait_logo_blank" id="0" name="image1.jpg"/>
                  <pic:cNvPicPr preferRelativeResize="0"/>
                </pic:nvPicPr>
                <pic:blipFill>
                  <a:blip r:embed="rId1"/>
                  <a:srcRect b="0" l="68397" r="0" t="0"/>
                  <a:stretch>
                    <a:fillRect/>
                  </a:stretch>
                </pic:blipFill>
                <pic:spPr>
                  <a:xfrm>
                    <a:off x="0" y="0"/>
                    <a:ext cx="1634490" cy="933450"/>
                  </a:xfrm>
                  <a:prstGeom prst="rect"/>
                  <a:ln/>
                </pic:spPr>
              </pic:pic>
            </a:graphicData>
          </a:graphic>
        </wp:inline>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highlight w:val="yellow"/>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1"/>
      <w:spacing w:after="720" w:lineRule="auto"/>
      <w:ind w:left="0" w:firstLine="0"/>
    </w:pPr>
    <w:rPr>
      <w:b w:val="1"/>
      <w:bCs w:val="1"/>
      <w:color w:val="005abb"/>
      <w:sz w:val="50"/>
      <w:szCs w:val="50"/>
    </w:rPr>
  </w:style>
  <w:style w:type="paragraph" w:styleId="Heading2">
    <w:name w:val="heading 2"/>
    <w:basedOn w:val="Normal"/>
    <w:next w:val="Normal"/>
    <w:pPr>
      <w:keepNext w:val="1"/>
      <w:tabs>
        <w:tab w:val="left" w:leader="none" w:pos="851"/>
      </w:tabs>
      <w:spacing w:after="120" w:before="120" w:lineRule="auto"/>
      <w:ind w:left="1440" w:hanging="360"/>
    </w:pPr>
    <w:rPr>
      <w:b w:val="1"/>
      <w:bCs w:val="1"/>
      <w:color w:val="005abb"/>
      <w:sz w:val="32"/>
      <w:szCs w:val="32"/>
    </w:rPr>
  </w:style>
  <w:style w:type="paragraph" w:styleId="Heading3">
    <w:name w:val="heading 3"/>
    <w:basedOn w:val="Normal"/>
    <w:next w:val="Normal"/>
    <w:pPr>
      <w:keepNext w:val="1"/>
      <w:keepLines w:val="1"/>
      <w:spacing w:after="120" w:lineRule="auto"/>
    </w:pPr>
    <w:rPr>
      <w:b w:val="1"/>
      <w:bCs w:val="1"/>
      <w:color w:val="005abb"/>
      <w:sz w:val="28"/>
      <w:szCs w:val="28"/>
    </w:rPr>
  </w:style>
  <w:style w:type="paragraph" w:styleId="Heading4">
    <w:name w:val="heading 4"/>
    <w:basedOn w:val="Normal"/>
    <w:next w:val="Normal"/>
    <w:pPr>
      <w:ind w:left="2880" w:hanging="360"/>
    </w:pPr>
    <w:rPr>
      <w:b w:val="1"/>
      <w:bCs w:val="1"/>
      <w:color w:val="005abb"/>
    </w:rPr>
  </w:style>
  <w:style w:type="paragraph" w:styleId="Heading5">
    <w:name w:val="heading 5"/>
    <w:basedOn w:val="Normal"/>
    <w:next w:val="Normal"/>
    <w:pPr>
      <w:ind w:left="3600" w:hanging="360"/>
    </w:pPr>
    <w:rPr>
      <w:b w:val="1"/>
      <w:bCs w:val="1"/>
      <w:color w:val="005abb"/>
    </w:rPr>
  </w:style>
  <w:style w:type="paragraph" w:styleId="Heading6">
    <w:name w:val="heading 6"/>
    <w:basedOn w:val="Normal"/>
    <w:next w:val="Normal"/>
    <w:pPr>
      <w:ind w:left="4320" w:hanging="360"/>
    </w:pPr>
    <w:rPr>
      <w:b w:val="1"/>
      <w:bCs w:val="1"/>
      <w:color w:val="005abb"/>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0D4DEF"/>
    <w:pPr>
      <w:keepNext w:val="1"/>
      <w:keepLines w:val="1"/>
      <w:numPr>
        <w:ilvl w:val="6"/>
        <w:numId w:val="2"/>
      </w:numPr>
      <w:spacing w:before="40"/>
      <w:outlineLvl w:val="6"/>
    </w:pPr>
    <w:rPr>
      <w:rFonts w:asciiTheme="majorHAnsi" w:cstheme="majorBidi" w:eastAsiaTheme="majorEastAsia" w:hAnsiTheme="majorHAnsi"/>
      <w:i w:val="1"/>
      <w:iCs w:val="1"/>
      <w:color w:val="0d1336" w:themeColor="accent1" w:themeShade="00007F"/>
    </w:rPr>
  </w:style>
  <w:style w:type="paragraph" w:styleId="Heading8">
    <w:name w:val="heading 8"/>
    <w:basedOn w:val="Normal"/>
    <w:next w:val="Normal"/>
    <w:link w:val="Heading8Char"/>
    <w:uiPriority w:val="9"/>
    <w:semiHidden w:val="1"/>
    <w:unhideWhenUsed w:val="1"/>
    <w:qFormat w:val="1"/>
    <w:rsid w:val="000D4DEF"/>
    <w:pPr>
      <w:keepNext w:val="1"/>
      <w:keepLines w:val="1"/>
      <w:numPr>
        <w:ilvl w:val="7"/>
        <w:numId w:val="2"/>
      </w:numPr>
      <w:spacing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0D4DEF"/>
    <w:pPr>
      <w:keepNext w:val="1"/>
      <w:keepLines w:val="1"/>
      <w:numPr>
        <w:ilvl w:val="8"/>
        <w:numId w:val="2"/>
      </w:numPr>
      <w:spacing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107" w:customStyle="1">
    <w:name w:val="107"/>
    <w:basedOn w:val="TableNormal"/>
    <w:tblPr>
      <w:tblStyleRowBandSize w:val="1"/>
      <w:tblStyleColBandSize w:val="1"/>
      <w:tblCellMar>
        <w:left w:w="57.0" w:type="dxa"/>
        <w:right w:w="57.0" w:type="dxa"/>
      </w:tblCellMar>
    </w:tblPr>
  </w:style>
  <w:style w:type="table" w:styleId="TableGrid">
    <w:name w:val="Table Grid"/>
    <w:basedOn w:val="TableNormal"/>
    <w:uiPriority w:val="39"/>
    <w:rsid w:val="003B0ED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F479AC"/>
    <w:rPr>
      <w:color w:val="005abb" w:themeColor="accent2"/>
      <w:u w:val="single"/>
    </w:rPr>
  </w:style>
  <w:style w:type="character" w:styleId="UnresolvedMention">
    <w:name w:val="Unresolved Mention"/>
    <w:basedOn w:val="DefaultParagraphFont"/>
    <w:uiPriority w:val="99"/>
    <w:semiHidden w:val="1"/>
    <w:unhideWhenUsed w:val="1"/>
    <w:rsid w:val="008200FB"/>
    <w:rPr>
      <w:color w:val="605e5c"/>
      <w:shd w:color="auto" w:fill="e1dfdd" w:val="clear"/>
    </w:rPr>
  </w:style>
  <w:style w:type="paragraph" w:styleId="TOC1">
    <w:name w:val="toc 1"/>
    <w:basedOn w:val="Normal"/>
    <w:next w:val="Normal"/>
    <w:autoRedefine w:val="1"/>
    <w:uiPriority w:val="39"/>
    <w:unhideWhenUsed w:val="1"/>
    <w:rsid w:val="00E67F97"/>
    <w:pPr>
      <w:keepNext w:val="1"/>
      <w:keepLines w:val="1"/>
      <w:tabs>
        <w:tab w:val="left" w:pos="397"/>
        <w:tab w:val="right" w:pos="9628"/>
      </w:tabs>
      <w:spacing w:before="120"/>
    </w:pPr>
    <w:rPr>
      <w:b w:val="1"/>
    </w:rPr>
  </w:style>
  <w:style w:type="paragraph" w:styleId="TOC6">
    <w:name w:val="toc 6"/>
    <w:basedOn w:val="Normal"/>
    <w:next w:val="Normal"/>
    <w:autoRedefine w:val="1"/>
    <w:uiPriority w:val="39"/>
    <w:unhideWhenUsed w:val="1"/>
    <w:rsid w:val="00B74633"/>
    <w:pPr>
      <w:tabs>
        <w:tab w:val="right" w:pos="9628"/>
      </w:tabs>
      <w:spacing w:after="100"/>
      <w:ind w:left="284"/>
    </w:pPr>
  </w:style>
  <w:style w:type="paragraph" w:styleId="TOC2">
    <w:name w:val="toc 2"/>
    <w:basedOn w:val="Normal"/>
    <w:next w:val="Normal"/>
    <w:autoRedefine w:val="1"/>
    <w:uiPriority w:val="39"/>
    <w:unhideWhenUsed w:val="1"/>
    <w:rsid w:val="00C04337"/>
    <w:pPr>
      <w:keepLines w:val="1"/>
      <w:tabs>
        <w:tab w:val="left" w:pos="1320"/>
        <w:tab w:val="right" w:pos="9628"/>
      </w:tabs>
      <w:ind w:left="964" w:hanging="567"/>
    </w:pPr>
    <w:rPr>
      <w:noProof w:val="1"/>
    </w:rPr>
  </w:style>
  <w:style w:type="paragraph" w:styleId="ListParagraph">
    <w:name w:val="List Paragraph"/>
    <w:basedOn w:val="Normal"/>
    <w:uiPriority w:val="34"/>
    <w:qFormat w:val="1"/>
    <w:rsid w:val="00B74633"/>
    <w:pPr>
      <w:ind w:left="720"/>
      <w:contextualSpacing w:val="1"/>
    </w:pPr>
  </w:style>
  <w:style w:type="character" w:styleId="FollowedHyperlink">
    <w:name w:val="FollowedHyperlink"/>
    <w:basedOn w:val="DefaultParagraphFont"/>
    <w:uiPriority w:val="99"/>
    <w:semiHidden w:val="1"/>
    <w:unhideWhenUsed w:val="1"/>
    <w:rsid w:val="00C740E4"/>
    <w:rPr>
      <w:color w:val="005abb" w:themeColor="followedHyperlink"/>
      <w:u w:val="single"/>
    </w:rPr>
  </w:style>
  <w:style w:type="paragraph" w:styleId="BalloonText">
    <w:name w:val="Balloon Text"/>
    <w:basedOn w:val="Normal"/>
    <w:link w:val="BalloonTextChar"/>
    <w:uiPriority w:val="99"/>
    <w:semiHidden w:val="1"/>
    <w:unhideWhenUsed w:val="1"/>
    <w:rsid w:val="004C6F8B"/>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C6F8B"/>
    <w:rPr>
      <w:rFonts w:ascii="Segoe UI" w:cs="Segoe UI" w:hAnsi="Segoe UI"/>
      <w:sz w:val="18"/>
      <w:szCs w:val="18"/>
    </w:rPr>
  </w:style>
  <w:style w:type="table" w:styleId="106" w:customStyle="1">
    <w:name w:val="106"/>
    <w:basedOn w:val="TableNormal"/>
    <w:tblPr>
      <w:tblStyleRowBandSize w:val="1"/>
      <w:tblStyleColBandSize w:val="1"/>
      <w:tblCellMar>
        <w:left w:w="57.0" w:type="dxa"/>
        <w:right w:w="57.0" w:type="dxa"/>
      </w:tblCellMar>
    </w:tblPr>
  </w:style>
  <w:style w:type="table" w:styleId="105" w:customStyle="1">
    <w:name w:val="105"/>
    <w:basedOn w:val="TableNormal"/>
    <w:tblPr>
      <w:tblStyleRowBandSize w:val="1"/>
      <w:tblStyleColBandSize w:val="1"/>
      <w:tblCellMar>
        <w:left w:w="57.0" w:type="dxa"/>
        <w:right w:w="57.0" w:type="dxa"/>
      </w:tblCellMar>
    </w:tblPr>
  </w:style>
  <w:style w:type="table" w:styleId="104" w:customStyle="1">
    <w:name w:val="104"/>
    <w:basedOn w:val="TableNormal"/>
    <w:tblPr>
      <w:tblStyleRowBandSize w:val="1"/>
      <w:tblStyleColBandSize w:val="1"/>
      <w:tblCellMar>
        <w:left w:w="57.0" w:type="dxa"/>
        <w:right w:w="57.0" w:type="dxa"/>
      </w:tblCellMar>
    </w:tblPr>
  </w:style>
  <w:style w:type="table" w:styleId="103" w:customStyle="1">
    <w:name w:val="103"/>
    <w:basedOn w:val="TableNormal"/>
    <w:tblPr>
      <w:tblStyleRowBandSize w:val="1"/>
      <w:tblStyleColBandSize w:val="1"/>
      <w:tblCellMar>
        <w:left w:w="57.0" w:type="dxa"/>
        <w:right w:w="57.0" w:type="dxa"/>
      </w:tblCellMar>
    </w:tblPr>
  </w:style>
  <w:style w:type="table" w:styleId="102" w:customStyle="1">
    <w:name w:val="102"/>
    <w:basedOn w:val="TableNormal"/>
    <w:tblPr>
      <w:tblStyleRowBandSize w:val="1"/>
      <w:tblStyleColBandSize w:val="1"/>
      <w:tblCellMar>
        <w:left w:w="57.0" w:type="dxa"/>
        <w:right w:w="57.0" w:type="dxa"/>
      </w:tblCellMar>
    </w:tblPr>
  </w:style>
  <w:style w:type="table" w:styleId="101" w:customStyle="1">
    <w:name w:val="101"/>
    <w:basedOn w:val="TableNormal"/>
    <w:tblPr>
      <w:tblStyleRowBandSize w:val="1"/>
      <w:tblStyleColBandSize w:val="1"/>
      <w:tblCellMar>
        <w:left w:w="57.0" w:type="dxa"/>
        <w:right w:w="57.0" w:type="dxa"/>
      </w:tblCellMar>
    </w:tblPr>
  </w:style>
  <w:style w:type="table" w:styleId="100" w:customStyle="1">
    <w:name w:val="100"/>
    <w:basedOn w:val="TableNormal"/>
    <w:tblPr>
      <w:tblStyleRowBandSize w:val="1"/>
      <w:tblStyleColBandSize w:val="1"/>
      <w:tblCellMar>
        <w:left w:w="57.0" w:type="dxa"/>
        <w:right w:w="57.0" w:type="dxa"/>
      </w:tblCellMar>
    </w:tblPr>
  </w:style>
  <w:style w:type="table" w:styleId="99" w:customStyle="1">
    <w:name w:val="99"/>
    <w:basedOn w:val="TableNormal"/>
    <w:tblPr>
      <w:tblStyleRowBandSize w:val="1"/>
      <w:tblStyleColBandSize w:val="1"/>
      <w:tblCellMar>
        <w:left w:w="57.0" w:type="dxa"/>
        <w:right w:w="57.0" w:type="dxa"/>
      </w:tblCellMar>
    </w:tblPr>
  </w:style>
  <w:style w:type="table" w:styleId="98" w:customStyle="1">
    <w:name w:val="98"/>
    <w:basedOn w:val="TableNormal"/>
    <w:tblPr>
      <w:tblStyleRowBandSize w:val="1"/>
      <w:tblStyleColBandSize w:val="1"/>
      <w:tblCellMar>
        <w:left w:w="57.0" w:type="dxa"/>
        <w:right w:w="57.0" w:type="dxa"/>
      </w:tblCellMar>
    </w:tblPr>
  </w:style>
  <w:style w:type="table" w:styleId="97" w:customStyle="1">
    <w:name w:val="97"/>
    <w:basedOn w:val="TableNormal"/>
    <w:tblPr>
      <w:tblStyleRowBandSize w:val="1"/>
      <w:tblStyleColBandSize w:val="1"/>
      <w:tblCellMar>
        <w:left w:w="57.0" w:type="dxa"/>
        <w:right w:w="57.0" w:type="dxa"/>
      </w:tblCellMar>
    </w:tblPr>
  </w:style>
  <w:style w:type="table" w:styleId="96" w:customStyle="1">
    <w:name w:val="96"/>
    <w:basedOn w:val="TableNormal"/>
    <w:tblPr>
      <w:tblStyleRowBandSize w:val="1"/>
      <w:tblStyleColBandSize w:val="1"/>
      <w:tblCellMar>
        <w:left w:w="57.0" w:type="dxa"/>
        <w:right w:w="57.0" w:type="dxa"/>
      </w:tblCellMar>
    </w:tblPr>
  </w:style>
  <w:style w:type="table" w:styleId="95" w:customStyle="1">
    <w:name w:val="95"/>
    <w:basedOn w:val="TableNormal"/>
    <w:tblPr>
      <w:tblStyleRowBandSize w:val="1"/>
      <w:tblStyleColBandSize w:val="1"/>
      <w:tblCellMar>
        <w:left w:w="57.0" w:type="dxa"/>
        <w:right w:w="57.0" w:type="dxa"/>
      </w:tblCellMar>
    </w:tblPr>
  </w:style>
  <w:style w:type="table" w:styleId="94" w:customStyle="1">
    <w:name w:val="94"/>
    <w:basedOn w:val="TableNormal"/>
    <w:tblPr>
      <w:tblStyleRowBandSize w:val="1"/>
      <w:tblStyleColBandSize w:val="1"/>
      <w:tblCellMar>
        <w:left w:w="57.0" w:type="dxa"/>
        <w:right w:w="57.0" w:type="dxa"/>
      </w:tblCellMar>
    </w:tblPr>
  </w:style>
  <w:style w:type="table" w:styleId="93" w:customStyle="1">
    <w:name w:val="93"/>
    <w:basedOn w:val="TableNormal"/>
    <w:tblPr>
      <w:tblStyleRowBandSize w:val="1"/>
      <w:tblStyleColBandSize w:val="1"/>
      <w:tblCellMar>
        <w:left w:w="57.0" w:type="dxa"/>
        <w:right w:w="57.0" w:type="dxa"/>
      </w:tblCellMar>
    </w:tblPr>
  </w:style>
  <w:style w:type="table" w:styleId="92" w:customStyle="1">
    <w:name w:val="92"/>
    <w:basedOn w:val="TableNormal"/>
    <w:tblPr>
      <w:tblStyleRowBandSize w:val="1"/>
      <w:tblStyleColBandSize w:val="1"/>
      <w:tblCellMar>
        <w:left w:w="57.0" w:type="dxa"/>
        <w:right w:w="57.0" w:type="dxa"/>
      </w:tblCellMar>
    </w:tblPr>
  </w:style>
  <w:style w:type="table" w:styleId="91" w:customStyle="1">
    <w:name w:val="91"/>
    <w:basedOn w:val="TableNormal"/>
    <w:tblPr>
      <w:tblStyleRowBandSize w:val="1"/>
      <w:tblStyleColBandSize w:val="1"/>
      <w:tblCellMar>
        <w:left w:w="57.0" w:type="dxa"/>
        <w:right w:w="57.0" w:type="dxa"/>
      </w:tblCellMar>
    </w:tblPr>
  </w:style>
  <w:style w:type="table" w:styleId="90" w:customStyle="1">
    <w:name w:val="90"/>
    <w:basedOn w:val="TableNormal"/>
    <w:tblPr>
      <w:tblStyleRowBandSize w:val="1"/>
      <w:tblStyleColBandSize w:val="1"/>
      <w:tblCellMar>
        <w:left w:w="57.0" w:type="dxa"/>
        <w:right w:w="57.0" w:type="dxa"/>
      </w:tblCellMar>
    </w:tblPr>
  </w:style>
  <w:style w:type="table" w:styleId="89" w:customStyle="1">
    <w:name w:val="89"/>
    <w:basedOn w:val="TableNormal"/>
    <w:tblPr>
      <w:tblStyleRowBandSize w:val="1"/>
      <w:tblStyleColBandSize w:val="1"/>
      <w:tblCellMar>
        <w:left w:w="57.0" w:type="dxa"/>
        <w:right w:w="57.0" w:type="dxa"/>
      </w:tblCellMar>
    </w:tblPr>
  </w:style>
  <w:style w:type="table" w:styleId="88" w:customStyle="1">
    <w:name w:val="88"/>
    <w:basedOn w:val="TableNormal"/>
    <w:tblPr>
      <w:tblStyleRowBandSize w:val="1"/>
      <w:tblStyleColBandSize w:val="1"/>
      <w:tblCellMar>
        <w:left w:w="57.0" w:type="dxa"/>
        <w:right w:w="57.0" w:type="dxa"/>
      </w:tblCellMar>
    </w:tblPr>
  </w:style>
  <w:style w:type="table" w:styleId="87" w:customStyle="1">
    <w:name w:val="87"/>
    <w:basedOn w:val="TableNormal"/>
    <w:tblPr>
      <w:tblStyleRowBandSize w:val="1"/>
      <w:tblStyleColBandSize w:val="1"/>
      <w:tblCellMar>
        <w:left w:w="57.0" w:type="dxa"/>
        <w:right w:w="57.0" w:type="dxa"/>
      </w:tblCellMar>
    </w:tblPr>
  </w:style>
  <w:style w:type="table" w:styleId="86" w:customStyle="1">
    <w:name w:val="86"/>
    <w:basedOn w:val="TableNormal"/>
    <w:tblPr>
      <w:tblStyleRowBandSize w:val="1"/>
      <w:tblStyleColBandSize w:val="1"/>
      <w:tblCellMar>
        <w:left w:w="57.0" w:type="dxa"/>
        <w:right w:w="57.0" w:type="dxa"/>
      </w:tblCellMar>
    </w:tblPr>
  </w:style>
  <w:style w:type="table" w:styleId="85" w:customStyle="1">
    <w:name w:val="85"/>
    <w:basedOn w:val="TableNormal"/>
    <w:tblPr>
      <w:tblStyleRowBandSize w:val="1"/>
      <w:tblStyleColBandSize w:val="1"/>
      <w:tblCellMar>
        <w:left w:w="57.0" w:type="dxa"/>
        <w:right w:w="57.0" w:type="dxa"/>
      </w:tblCellMar>
    </w:tblPr>
  </w:style>
  <w:style w:type="table" w:styleId="84" w:customStyle="1">
    <w:name w:val="84"/>
    <w:basedOn w:val="TableNormal"/>
    <w:tblPr>
      <w:tblStyleRowBandSize w:val="1"/>
      <w:tblStyleColBandSize w:val="1"/>
      <w:tblCellMar>
        <w:left w:w="57.0" w:type="dxa"/>
        <w:right w:w="57.0" w:type="dxa"/>
      </w:tblCellMar>
    </w:tblPr>
  </w:style>
  <w:style w:type="table" w:styleId="83" w:customStyle="1">
    <w:name w:val="83"/>
    <w:basedOn w:val="TableNormal"/>
    <w:tblPr>
      <w:tblStyleRowBandSize w:val="1"/>
      <w:tblStyleColBandSize w:val="1"/>
      <w:tblCellMar>
        <w:left w:w="57.0" w:type="dxa"/>
        <w:right w:w="57.0" w:type="dxa"/>
      </w:tblCellMar>
    </w:tblPr>
  </w:style>
  <w:style w:type="table" w:styleId="82" w:customStyle="1">
    <w:name w:val="82"/>
    <w:basedOn w:val="TableNormal"/>
    <w:tblPr>
      <w:tblStyleRowBandSize w:val="1"/>
      <w:tblStyleColBandSize w:val="1"/>
      <w:tblCellMar>
        <w:left w:w="57.0" w:type="dxa"/>
        <w:right w:w="57.0" w:type="dxa"/>
      </w:tblCellMar>
    </w:tblPr>
  </w:style>
  <w:style w:type="table" w:styleId="81" w:customStyle="1">
    <w:name w:val="81"/>
    <w:basedOn w:val="TableNormal"/>
    <w:tblPr>
      <w:tblStyleRowBandSize w:val="1"/>
      <w:tblStyleColBandSize w:val="1"/>
      <w:tblCellMar>
        <w:left w:w="57.0" w:type="dxa"/>
        <w:right w:w="57.0" w:type="dxa"/>
      </w:tblCellMar>
    </w:tblPr>
  </w:style>
  <w:style w:type="table" w:styleId="80" w:customStyle="1">
    <w:name w:val="80"/>
    <w:basedOn w:val="TableNormal"/>
    <w:tblPr>
      <w:tblStyleRowBandSize w:val="1"/>
      <w:tblStyleColBandSize w:val="1"/>
      <w:tblCellMar>
        <w:left w:w="57.0" w:type="dxa"/>
        <w:right w:w="57.0" w:type="dxa"/>
      </w:tblCellMar>
    </w:tblPr>
  </w:style>
  <w:style w:type="table" w:styleId="79" w:customStyle="1">
    <w:name w:val="79"/>
    <w:basedOn w:val="TableNormal"/>
    <w:tblPr>
      <w:tblStyleRowBandSize w:val="1"/>
      <w:tblStyleColBandSize w:val="1"/>
      <w:tblCellMar>
        <w:left w:w="57.0" w:type="dxa"/>
        <w:right w:w="57.0" w:type="dxa"/>
      </w:tblCellMar>
    </w:tblPr>
  </w:style>
  <w:style w:type="table" w:styleId="78" w:customStyle="1">
    <w:name w:val="78"/>
    <w:basedOn w:val="TableNormal"/>
    <w:tblPr>
      <w:tblStyleRowBandSize w:val="1"/>
      <w:tblStyleColBandSize w:val="1"/>
      <w:tblCellMar>
        <w:left w:w="57.0" w:type="dxa"/>
        <w:right w:w="57.0" w:type="dxa"/>
      </w:tblCellMar>
    </w:tblPr>
  </w:style>
  <w:style w:type="table" w:styleId="77" w:customStyle="1">
    <w:name w:val="77"/>
    <w:basedOn w:val="TableNormal"/>
    <w:tblPr>
      <w:tblStyleRowBandSize w:val="1"/>
      <w:tblStyleColBandSize w:val="1"/>
      <w:tblCellMar>
        <w:left w:w="57.0" w:type="dxa"/>
        <w:right w:w="57.0" w:type="dxa"/>
      </w:tblCellMar>
    </w:tblPr>
  </w:style>
  <w:style w:type="table" w:styleId="76" w:customStyle="1">
    <w:name w:val="76"/>
    <w:basedOn w:val="TableNormal"/>
    <w:tblPr>
      <w:tblStyleRowBandSize w:val="1"/>
      <w:tblStyleColBandSize w:val="1"/>
      <w:tblCellMar>
        <w:left w:w="57.0" w:type="dxa"/>
        <w:right w:w="57.0" w:type="dxa"/>
      </w:tblCellMar>
    </w:tblPr>
  </w:style>
  <w:style w:type="table" w:styleId="75" w:customStyle="1">
    <w:name w:val="75"/>
    <w:basedOn w:val="TableNormal"/>
    <w:tblPr>
      <w:tblStyleRowBandSize w:val="1"/>
      <w:tblStyleColBandSize w:val="1"/>
      <w:tblCellMar>
        <w:left w:w="57.0" w:type="dxa"/>
        <w:right w:w="57.0" w:type="dxa"/>
      </w:tblCellMar>
    </w:tblPr>
  </w:style>
  <w:style w:type="table" w:styleId="74" w:customStyle="1">
    <w:name w:val="74"/>
    <w:basedOn w:val="TableNormal"/>
    <w:tblPr>
      <w:tblStyleRowBandSize w:val="1"/>
      <w:tblStyleColBandSize w:val="1"/>
      <w:tblCellMar>
        <w:left w:w="57.0" w:type="dxa"/>
        <w:right w:w="57.0" w:type="dxa"/>
      </w:tblCellMar>
    </w:tblPr>
  </w:style>
  <w:style w:type="table" w:styleId="73" w:customStyle="1">
    <w:name w:val="73"/>
    <w:basedOn w:val="TableNormal"/>
    <w:tblPr>
      <w:tblStyleRowBandSize w:val="1"/>
      <w:tblStyleColBandSize w:val="1"/>
      <w:tblCellMar>
        <w:left w:w="57.0" w:type="dxa"/>
        <w:right w:w="57.0" w:type="dxa"/>
      </w:tblCellMar>
    </w:tblPr>
  </w:style>
  <w:style w:type="table" w:styleId="72" w:customStyle="1">
    <w:name w:val="72"/>
    <w:basedOn w:val="TableNormal"/>
    <w:tblPr>
      <w:tblStyleRowBandSize w:val="1"/>
      <w:tblStyleColBandSize w:val="1"/>
      <w:tblCellMar>
        <w:left w:w="57.0" w:type="dxa"/>
        <w:right w:w="57.0" w:type="dxa"/>
      </w:tblCellMar>
    </w:tblPr>
  </w:style>
  <w:style w:type="table" w:styleId="71" w:customStyle="1">
    <w:name w:val="71"/>
    <w:basedOn w:val="TableNormal"/>
    <w:tblPr>
      <w:tblStyleRowBandSize w:val="1"/>
      <w:tblStyleColBandSize w:val="1"/>
      <w:tblCellMar>
        <w:left w:w="57.0" w:type="dxa"/>
        <w:right w:w="57.0" w:type="dxa"/>
      </w:tblCellMar>
    </w:tblPr>
  </w:style>
  <w:style w:type="table" w:styleId="70" w:customStyle="1">
    <w:name w:val="70"/>
    <w:basedOn w:val="TableNormal"/>
    <w:tblPr>
      <w:tblStyleRowBandSize w:val="1"/>
      <w:tblStyleColBandSize w:val="1"/>
      <w:tblCellMar>
        <w:left w:w="57.0" w:type="dxa"/>
        <w:right w:w="57.0" w:type="dxa"/>
      </w:tblCellMar>
    </w:tblPr>
  </w:style>
  <w:style w:type="table" w:styleId="69" w:customStyle="1">
    <w:name w:val="69"/>
    <w:basedOn w:val="TableNormal"/>
    <w:tblPr>
      <w:tblStyleRowBandSize w:val="1"/>
      <w:tblStyleColBandSize w:val="1"/>
      <w:tblCellMar>
        <w:left w:w="57.0" w:type="dxa"/>
        <w:right w:w="57.0" w:type="dxa"/>
      </w:tblCellMar>
    </w:tblPr>
  </w:style>
  <w:style w:type="table" w:styleId="68" w:customStyle="1">
    <w:name w:val="68"/>
    <w:basedOn w:val="TableNormal"/>
    <w:tblPr>
      <w:tblStyleRowBandSize w:val="1"/>
      <w:tblStyleColBandSize w:val="1"/>
      <w:tblCellMar>
        <w:left w:w="57.0" w:type="dxa"/>
        <w:right w:w="57.0" w:type="dxa"/>
      </w:tblCellMar>
    </w:tblPr>
  </w:style>
  <w:style w:type="table" w:styleId="67" w:customStyle="1">
    <w:name w:val="67"/>
    <w:basedOn w:val="TableNormal"/>
    <w:tblPr>
      <w:tblStyleRowBandSize w:val="1"/>
      <w:tblStyleColBandSize w:val="1"/>
      <w:tblCellMar>
        <w:left w:w="57.0" w:type="dxa"/>
        <w:right w:w="57.0" w:type="dxa"/>
      </w:tblCellMar>
    </w:tbl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CF1B26"/>
    <w:pPr>
      <w:tabs>
        <w:tab w:val="center" w:pos="4513"/>
        <w:tab w:val="right" w:pos="9026"/>
      </w:tabs>
    </w:pPr>
  </w:style>
  <w:style w:type="character" w:styleId="HeaderChar" w:customStyle="1">
    <w:name w:val="Header Char"/>
    <w:basedOn w:val="DefaultParagraphFont"/>
    <w:link w:val="Header"/>
    <w:uiPriority w:val="99"/>
    <w:rsid w:val="00CF1B26"/>
  </w:style>
  <w:style w:type="paragraph" w:styleId="Footer">
    <w:name w:val="footer"/>
    <w:basedOn w:val="Normal"/>
    <w:link w:val="FooterChar"/>
    <w:uiPriority w:val="99"/>
    <w:unhideWhenUsed w:val="1"/>
    <w:rsid w:val="00CF1B26"/>
    <w:pPr>
      <w:tabs>
        <w:tab w:val="center" w:pos="4513"/>
        <w:tab w:val="right" w:pos="9026"/>
      </w:tabs>
    </w:pPr>
  </w:style>
  <w:style w:type="character" w:styleId="FooterChar" w:customStyle="1">
    <w:name w:val="Footer Char"/>
    <w:basedOn w:val="DefaultParagraphFont"/>
    <w:link w:val="Footer"/>
    <w:uiPriority w:val="99"/>
    <w:rsid w:val="00CF1B26"/>
  </w:style>
  <w:style w:type="paragraph" w:styleId="Revision">
    <w:name w:val="Revision"/>
    <w:hidden w:val="1"/>
    <w:uiPriority w:val="99"/>
    <w:semiHidden w:val="1"/>
    <w:rsid w:val="005636E7"/>
  </w:style>
  <w:style w:type="paragraph" w:styleId="Cover-ReportTitle" w:customStyle="1">
    <w:name w:val="Cover - Report Title"/>
    <w:basedOn w:val="Normal"/>
    <w:qFormat w:val="1"/>
    <w:rsid w:val="00CC6E42"/>
    <w:pPr>
      <w:pBdr>
        <w:top w:space="0" w:sz="0" w:val="nil"/>
        <w:left w:space="0" w:sz="0" w:val="nil"/>
        <w:bottom w:space="0" w:sz="0" w:val="nil"/>
        <w:right w:space="0" w:sz="0" w:val="nil"/>
        <w:between w:space="0" w:sz="0" w:val="nil"/>
      </w:pBdr>
      <w:spacing w:after="120"/>
    </w:pPr>
    <w:rPr>
      <w:color w:val="005abb" w:themeColor="accent2"/>
      <w:sz w:val="76"/>
      <w:szCs w:val="76"/>
    </w:rPr>
  </w:style>
  <w:style w:type="paragraph" w:styleId="Cover-Subtitle" w:customStyle="1">
    <w:name w:val="Cover - Subtitle"/>
    <w:basedOn w:val="Normal"/>
    <w:qFormat w:val="1"/>
    <w:rsid w:val="00F479AC"/>
    <w:pPr>
      <w:pBdr>
        <w:top w:space="0" w:sz="0" w:val="nil"/>
        <w:left w:space="0" w:sz="0" w:val="nil"/>
        <w:bottom w:space="0" w:sz="0" w:val="nil"/>
        <w:right w:space="0" w:sz="0" w:val="nil"/>
        <w:between w:space="0" w:sz="0" w:val="nil"/>
      </w:pBdr>
      <w:spacing w:after="240"/>
    </w:pPr>
    <w:rPr>
      <w:color w:val="005abb" w:themeColor="accent2"/>
      <w:sz w:val="44"/>
      <w:szCs w:val="44"/>
    </w:rPr>
  </w:style>
  <w:style w:type="paragraph" w:styleId="Cover-Date" w:customStyle="1">
    <w:name w:val="Cover - Date"/>
    <w:basedOn w:val="Normal"/>
    <w:qFormat w:val="1"/>
    <w:rsid w:val="002C710C"/>
    <w:pPr>
      <w:pBdr>
        <w:top w:space="0" w:sz="0" w:val="nil"/>
        <w:left w:space="0" w:sz="0" w:val="nil"/>
        <w:bottom w:space="0" w:sz="0" w:val="nil"/>
        <w:right w:space="0" w:sz="0" w:val="nil"/>
        <w:between w:space="0" w:sz="0" w:val="nil"/>
      </w:pBdr>
      <w:spacing w:after="120"/>
    </w:pPr>
    <w:rPr>
      <w:color w:val="000000"/>
    </w:rPr>
  </w:style>
  <w:style w:type="paragraph" w:styleId="BodyText1" w:customStyle="1">
    <w:name w:val="Body Text1"/>
    <w:basedOn w:val="Normal"/>
    <w:qFormat w:val="1"/>
    <w:rsid w:val="00400348"/>
    <w:pPr>
      <w:pBdr>
        <w:top w:space="0" w:sz="0" w:val="nil"/>
        <w:left w:space="0" w:sz="0" w:val="nil"/>
        <w:bottom w:space="0" w:sz="0" w:val="nil"/>
        <w:right w:space="0" w:sz="0" w:val="nil"/>
        <w:between w:space="0" w:sz="0" w:val="nil"/>
      </w:pBdr>
      <w:suppressAutoHyphens w:val="1"/>
      <w:spacing w:after="240"/>
    </w:pPr>
    <w:rPr>
      <w:color w:val="000000"/>
    </w:rPr>
  </w:style>
  <w:style w:type="paragraph" w:styleId="Quote">
    <w:name w:val="Quote"/>
    <w:basedOn w:val="Normal"/>
    <w:next w:val="Normal"/>
    <w:link w:val="QuoteChar"/>
    <w:uiPriority w:val="29"/>
    <w:qFormat w:val="1"/>
    <w:rsid w:val="00343F98"/>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343F98"/>
    <w:rPr>
      <w:i w:val="1"/>
      <w:iCs w:val="1"/>
      <w:color w:val="404040" w:themeColor="text1" w:themeTint="0000BF"/>
    </w:rPr>
  </w:style>
  <w:style w:type="paragraph" w:styleId="TOC3">
    <w:name w:val="toc 3"/>
    <w:basedOn w:val="Normal"/>
    <w:next w:val="Normal"/>
    <w:autoRedefine w:val="1"/>
    <w:uiPriority w:val="39"/>
    <w:unhideWhenUsed w:val="1"/>
    <w:rsid w:val="008A068D"/>
    <w:pPr>
      <w:spacing w:after="100"/>
      <w:ind w:left="480"/>
    </w:pPr>
  </w:style>
  <w:style w:type="paragraph" w:styleId="CommentSubject">
    <w:name w:val="annotation subject"/>
    <w:basedOn w:val="CommentText"/>
    <w:next w:val="CommentText"/>
    <w:link w:val="CommentSubjectChar"/>
    <w:uiPriority w:val="99"/>
    <w:semiHidden w:val="1"/>
    <w:unhideWhenUsed w:val="1"/>
    <w:rsid w:val="009E4535"/>
    <w:rPr>
      <w:b w:val="1"/>
      <w:bCs w:val="1"/>
    </w:rPr>
  </w:style>
  <w:style w:type="character" w:styleId="CommentSubjectChar" w:customStyle="1">
    <w:name w:val="Comment Subject Char"/>
    <w:basedOn w:val="CommentTextChar"/>
    <w:link w:val="CommentSubject"/>
    <w:uiPriority w:val="99"/>
    <w:semiHidden w:val="1"/>
    <w:rsid w:val="009E4535"/>
    <w:rPr>
      <w:rFonts w:asciiTheme="minorHAnsi" w:hAnsiTheme="minorHAnsi"/>
      <w:b w:val="1"/>
      <w:bCs w:val="1"/>
      <w:sz w:val="20"/>
      <w:szCs w:val="20"/>
    </w:rPr>
  </w:style>
  <w:style w:type="numbering" w:styleId="Style1" w:customStyle="1">
    <w:name w:val="Style1"/>
    <w:uiPriority w:val="99"/>
    <w:rsid w:val="00692C6C"/>
  </w:style>
  <w:style w:type="character" w:styleId="Heading7Char" w:customStyle="1">
    <w:name w:val="Heading 7 Char"/>
    <w:basedOn w:val="DefaultParagraphFont"/>
    <w:link w:val="Heading7"/>
    <w:uiPriority w:val="9"/>
    <w:semiHidden w:val="1"/>
    <w:rsid w:val="000D4DEF"/>
    <w:rPr>
      <w:rFonts w:asciiTheme="majorHAnsi" w:cstheme="majorBidi" w:eastAsiaTheme="majorEastAsia" w:hAnsiTheme="majorHAnsi"/>
      <w:i w:val="1"/>
      <w:iCs w:val="1"/>
      <w:color w:val="0d1336" w:themeColor="accent1" w:themeShade="00007F"/>
    </w:rPr>
  </w:style>
  <w:style w:type="character" w:styleId="Heading8Char" w:customStyle="1">
    <w:name w:val="Heading 8 Char"/>
    <w:basedOn w:val="DefaultParagraphFont"/>
    <w:link w:val="Heading8"/>
    <w:uiPriority w:val="9"/>
    <w:semiHidden w:val="1"/>
    <w:rsid w:val="000D4DEF"/>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0D4DEF"/>
    <w:rPr>
      <w:rFonts w:asciiTheme="majorHAnsi" w:cstheme="majorBidi" w:eastAsiaTheme="majorEastAsia" w:hAnsiTheme="majorHAnsi"/>
      <w:i w:val="1"/>
      <w:iCs w:val="1"/>
      <w:color w:val="272727" w:themeColor="text1" w:themeTint="0000D8"/>
      <w:sz w:val="21"/>
      <w:szCs w:val="21"/>
    </w:rPr>
  </w:style>
  <w:style w:type="numbering" w:styleId="Style2" w:customStyle="1">
    <w:name w:val="Style2"/>
    <w:uiPriority w:val="99"/>
    <w:rsid w:val="008875F7"/>
  </w:style>
  <w:style w:type="paragraph" w:styleId="Heading2-NotToC" w:customStyle="1">
    <w:name w:val="Heading 2 - Not ToC"/>
    <w:basedOn w:val="Heading2"/>
    <w:qFormat w:val="1"/>
    <w:rsid w:val="00BE665B"/>
    <w:pPr>
      <w:numPr>
        <w:ilvl w:val="0"/>
        <w:numId w:val="0"/>
      </w:numPr>
    </w:pPr>
  </w:style>
  <w:style w:type="paragraph" w:styleId="NormalWeb">
    <w:name w:val="Normal (Web)"/>
    <w:basedOn w:val="Normal"/>
    <w:uiPriority w:val="99"/>
    <w:semiHidden w:val="1"/>
    <w:unhideWhenUsed w:val="1"/>
    <w:rsid w:val="00485190"/>
    <w:rPr>
      <w:rFonts w:ascii="Times New Roman" w:cs="Times New Roman" w:hAnsi="Times New Roman"/>
    </w:rPr>
  </w:style>
  <w:style w:type="table" w:styleId="66" w:customStyle="1">
    <w:name w:val="66"/>
    <w:basedOn w:val="TableNormal"/>
    <w:tblPr>
      <w:tblStyleRowBandSize w:val="1"/>
      <w:tblStyleColBandSize w:val="1"/>
      <w:tblCellMar>
        <w:left w:w="57.0" w:type="dxa"/>
        <w:right w:w="57.0" w:type="dxa"/>
      </w:tblCellMar>
    </w:tblPr>
  </w:style>
  <w:style w:type="table" w:styleId="65" w:customStyle="1">
    <w:name w:val="65"/>
    <w:basedOn w:val="TableNormal"/>
    <w:tblPr>
      <w:tblStyleRowBandSize w:val="1"/>
      <w:tblStyleColBandSize w:val="1"/>
      <w:tblCellMar>
        <w:top w:w="57.0" w:type="dxa"/>
        <w:left w:w="57.0" w:type="dxa"/>
        <w:bottom w:w="57.0" w:type="dxa"/>
        <w:right w:w="57.0" w:type="dxa"/>
      </w:tblCellMar>
    </w:tblPr>
  </w:style>
  <w:style w:type="table" w:styleId="64" w:customStyle="1">
    <w:name w:val="64"/>
    <w:basedOn w:val="TableNormal"/>
    <w:tblPr>
      <w:tblStyleRowBandSize w:val="1"/>
      <w:tblStyleColBandSize w:val="1"/>
      <w:tblCellMar>
        <w:left w:w="115.0" w:type="dxa"/>
        <w:right w:w="115.0" w:type="dxa"/>
      </w:tblCellMar>
    </w:tblPr>
  </w:style>
  <w:style w:type="table" w:styleId="63" w:customStyle="1">
    <w:name w:val="63"/>
    <w:basedOn w:val="TableNormal"/>
    <w:tblPr>
      <w:tblStyleRowBandSize w:val="1"/>
      <w:tblStyleColBandSize w:val="1"/>
      <w:tblCellMar>
        <w:top w:w="113.0" w:type="dxa"/>
        <w:left w:w="0.0" w:type="dxa"/>
        <w:bottom w:w="113.0" w:type="dxa"/>
        <w:right w:w="0.0" w:type="dxa"/>
      </w:tblCellMar>
    </w:tblPr>
  </w:style>
  <w:style w:type="table" w:styleId="62" w:customStyle="1">
    <w:name w:val="62"/>
    <w:basedOn w:val="TableNormal"/>
    <w:tblPr>
      <w:tblStyleRowBandSize w:val="1"/>
      <w:tblStyleColBandSize w:val="1"/>
      <w:tblCellMar>
        <w:top w:w="15.0" w:type="dxa"/>
        <w:left w:w="15.0" w:type="dxa"/>
        <w:bottom w:w="15.0" w:type="dxa"/>
        <w:right w:w="15.0" w:type="dxa"/>
      </w:tblCellMar>
    </w:tblPr>
  </w:style>
  <w:style w:type="table" w:styleId="61" w:customStyle="1">
    <w:name w:val="61"/>
    <w:basedOn w:val="TableNormal"/>
    <w:tblPr>
      <w:tblStyleRowBandSize w:val="1"/>
      <w:tblStyleColBandSize w:val="1"/>
      <w:tblCellMar>
        <w:top w:w="15.0" w:type="dxa"/>
        <w:left w:w="15.0" w:type="dxa"/>
        <w:bottom w:w="15.0" w:type="dxa"/>
        <w:right w:w="15.0" w:type="dxa"/>
      </w:tblCellMar>
    </w:tblPr>
  </w:style>
  <w:style w:type="table" w:styleId="60" w:customStyle="1">
    <w:name w:val="60"/>
    <w:basedOn w:val="TableNormal"/>
    <w:tblPr>
      <w:tblStyleRowBandSize w:val="1"/>
      <w:tblStyleColBandSize w:val="1"/>
      <w:tblCellMar>
        <w:top w:w="113.0" w:type="dxa"/>
        <w:left w:w="0.0" w:type="dxa"/>
        <w:bottom w:w="113.0" w:type="dxa"/>
        <w:right w:w="0.0" w:type="dxa"/>
      </w:tblCellMar>
    </w:tblPr>
  </w:style>
  <w:style w:type="table" w:styleId="59" w:customStyle="1">
    <w:name w:val="59"/>
    <w:basedOn w:val="TableNormal"/>
    <w:tblPr>
      <w:tblStyleRowBandSize w:val="1"/>
      <w:tblStyleColBandSize w:val="1"/>
      <w:tblCellMar>
        <w:top w:w="113.0" w:type="dxa"/>
        <w:left w:w="0.0" w:type="dxa"/>
        <w:bottom w:w="113.0" w:type="dxa"/>
        <w:right w:w="0.0" w:type="dxa"/>
      </w:tblCellMar>
    </w:tblPr>
  </w:style>
  <w:style w:type="table" w:styleId="58" w:customStyle="1">
    <w:name w:val="58"/>
    <w:basedOn w:val="TableNormal"/>
    <w:tblPr>
      <w:tblStyleRowBandSize w:val="1"/>
      <w:tblStyleColBandSize w:val="1"/>
      <w:tblCellMar>
        <w:top w:w="57.0" w:type="dxa"/>
        <w:left w:w="115.0" w:type="dxa"/>
        <w:bottom w:w="57.0" w:type="dxa"/>
        <w:right w:w="115.0" w:type="dxa"/>
      </w:tblCellMar>
    </w:tblPr>
  </w:style>
  <w:style w:type="table" w:styleId="57" w:customStyle="1">
    <w:name w:val="57"/>
    <w:basedOn w:val="TableNormal"/>
    <w:tblPr>
      <w:tblStyleRowBandSize w:val="1"/>
      <w:tblStyleColBandSize w:val="1"/>
      <w:tblCellMar>
        <w:top w:w="57.0" w:type="dxa"/>
        <w:left w:w="115.0" w:type="dxa"/>
        <w:bottom w:w="57.0" w:type="dxa"/>
        <w:right w:w="115.0" w:type="dxa"/>
      </w:tblCellMar>
    </w:tblPr>
  </w:style>
  <w:style w:type="table" w:styleId="56" w:customStyle="1">
    <w:name w:val="56"/>
    <w:basedOn w:val="TableNormal"/>
    <w:tblPr>
      <w:tblStyleRowBandSize w:val="1"/>
      <w:tblStyleColBandSize w:val="1"/>
      <w:tblCellMar>
        <w:top w:w="57.0" w:type="dxa"/>
        <w:left w:w="115.0" w:type="dxa"/>
        <w:bottom w:w="57.0" w:type="dxa"/>
        <w:right w:w="115.0" w:type="dxa"/>
      </w:tblCellMar>
    </w:tblPr>
  </w:style>
  <w:style w:type="table" w:styleId="55" w:customStyle="1">
    <w:name w:val="55"/>
    <w:basedOn w:val="TableNormal"/>
    <w:tblPr>
      <w:tblStyleRowBandSize w:val="1"/>
      <w:tblStyleColBandSize w:val="1"/>
      <w:tblCellMar>
        <w:top w:w="57.0" w:type="dxa"/>
        <w:left w:w="115.0" w:type="dxa"/>
        <w:bottom w:w="57.0" w:type="dxa"/>
        <w:right w:w="115.0" w:type="dxa"/>
      </w:tblCellMar>
    </w:tblPr>
  </w:style>
  <w:style w:type="table" w:styleId="54" w:customStyle="1">
    <w:name w:val="54"/>
    <w:basedOn w:val="TableNormal"/>
    <w:tblPr>
      <w:tblStyleRowBandSize w:val="1"/>
      <w:tblStyleColBandSize w:val="1"/>
      <w:tblCellMar>
        <w:top w:w="57.0" w:type="dxa"/>
        <w:left w:w="115.0" w:type="dxa"/>
        <w:bottom w:w="57.0" w:type="dxa"/>
        <w:right w:w="115.0" w:type="dxa"/>
      </w:tblCellMar>
    </w:tblPr>
  </w:style>
  <w:style w:type="table" w:styleId="53" w:customStyle="1">
    <w:name w:val="53"/>
    <w:basedOn w:val="TableNormal"/>
    <w:tblPr>
      <w:tblStyleRowBandSize w:val="1"/>
      <w:tblStyleColBandSize w:val="1"/>
      <w:tblCellMar>
        <w:top w:w="57.0" w:type="dxa"/>
        <w:left w:w="115.0" w:type="dxa"/>
        <w:bottom w:w="57.0" w:type="dxa"/>
        <w:right w:w="115.0" w:type="dxa"/>
      </w:tblCellMar>
    </w:tblPr>
  </w:style>
  <w:style w:type="table" w:styleId="52" w:customStyle="1">
    <w:name w:val="52"/>
    <w:basedOn w:val="TableNormal"/>
    <w:tblPr>
      <w:tblStyleRowBandSize w:val="1"/>
      <w:tblStyleColBandSize w:val="1"/>
      <w:tblCellMar>
        <w:top w:w="57.0" w:type="dxa"/>
        <w:left w:w="115.0" w:type="dxa"/>
        <w:bottom w:w="57.0" w:type="dxa"/>
        <w:right w:w="115.0" w:type="dxa"/>
      </w:tblCellMar>
    </w:tblPr>
  </w:style>
  <w:style w:type="table" w:styleId="51" w:customStyle="1">
    <w:name w:val="51"/>
    <w:basedOn w:val="TableNormal"/>
    <w:tblPr>
      <w:tblStyleRowBandSize w:val="1"/>
      <w:tblStyleColBandSize w:val="1"/>
      <w:tblCellMar>
        <w:top w:w="57.0" w:type="dxa"/>
        <w:left w:w="115.0" w:type="dxa"/>
        <w:bottom w:w="57.0" w:type="dxa"/>
        <w:right w:w="115.0" w:type="dxa"/>
      </w:tblCellMar>
    </w:tblPr>
  </w:style>
  <w:style w:type="table" w:styleId="50" w:customStyle="1">
    <w:name w:val="50"/>
    <w:basedOn w:val="TableNormal"/>
    <w:tblPr>
      <w:tblStyleRowBandSize w:val="1"/>
      <w:tblStyleColBandSize w:val="1"/>
      <w:tblCellMar>
        <w:top w:w="57.0" w:type="dxa"/>
        <w:left w:w="115.0" w:type="dxa"/>
        <w:bottom w:w="57.0" w:type="dxa"/>
        <w:right w:w="115.0" w:type="dxa"/>
      </w:tblCellMar>
    </w:tblPr>
  </w:style>
  <w:style w:type="table" w:styleId="49" w:customStyle="1">
    <w:name w:val="49"/>
    <w:basedOn w:val="TableNormal"/>
    <w:tblPr>
      <w:tblStyleRowBandSize w:val="1"/>
      <w:tblStyleColBandSize w:val="1"/>
      <w:tblCellMar>
        <w:top w:w="57.0" w:type="dxa"/>
        <w:left w:w="115.0" w:type="dxa"/>
        <w:bottom w:w="57.0" w:type="dxa"/>
        <w:right w:w="115.0" w:type="dxa"/>
      </w:tblCellMar>
    </w:tblPr>
  </w:style>
  <w:style w:type="table" w:styleId="48" w:customStyle="1">
    <w:name w:val="48"/>
    <w:basedOn w:val="TableNormal"/>
    <w:tblPr>
      <w:tblStyleRowBandSize w:val="1"/>
      <w:tblStyleColBandSize w:val="1"/>
      <w:tblCellMar>
        <w:left w:w="57.0" w:type="dxa"/>
        <w:right w:w="57.0" w:type="dxa"/>
      </w:tblCellMar>
    </w:tblPr>
  </w:style>
  <w:style w:type="table" w:styleId="47" w:customStyle="1">
    <w:name w:val="47"/>
    <w:basedOn w:val="TableNormal"/>
    <w:tblPr>
      <w:tblStyleRowBandSize w:val="1"/>
      <w:tblStyleColBandSize w:val="1"/>
      <w:tblCellMar>
        <w:left w:w="57.0" w:type="dxa"/>
        <w:right w:w="57.0" w:type="dxa"/>
      </w:tblCellMar>
    </w:tblPr>
  </w:style>
  <w:style w:type="table" w:styleId="46" w:customStyle="1">
    <w:name w:val="46"/>
    <w:basedOn w:val="TableNormal"/>
    <w:tblPr>
      <w:tblStyleRowBandSize w:val="1"/>
      <w:tblStyleColBandSize w:val="1"/>
      <w:tblCellMar>
        <w:left w:w="57.0" w:type="dxa"/>
        <w:right w:w="57.0" w:type="dxa"/>
      </w:tblCellMar>
    </w:tblPr>
  </w:style>
  <w:style w:type="table" w:styleId="45" w:customStyle="1">
    <w:name w:val="45"/>
    <w:basedOn w:val="TableNormal"/>
    <w:tblPr>
      <w:tblStyleRowBandSize w:val="1"/>
      <w:tblStyleColBandSize w:val="1"/>
      <w:tblCellMar>
        <w:left w:w="57.0" w:type="dxa"/>
        <w:right w:w="57.0" w:type="dxa"/>
      </w:tblCellMar>
    </w:tblPr>
  </w:style>
  <w:style w:type="table" w:styleId="44" w:customStyle="1">
    <w:name w:val="44"/>
    <w:basedOn w:val="TableNormal"/>
    <w:tblPr>
      <w:tblStyleRowBandSize w:val="1"/>
      <w:tblStyleColBandSize w:val="1"/>
      <w:tblCellMar>
        <w:top w:w="57.0" w:type="dxa"/>
        <w:left w:w="115.0" w:type="dxa"/>
        <w:bottom w:w="57.0" w:type="dxa"/>
        <w:right w:w="115.0" w:type="dxa"/>
      </w:tblCellMar>
    </w:tblPr>
  </w:style>
  <w:style w:type="table" w:styleId="43" w:customStyle="1">
    <w:name w:val="43"/>
    <w:basedOn w:val="TableNormal"/>
    <w:tblPr>
      <w:tblStyleRowBandSize w:val="1"/>
      <w:tblStyleColBandSize w:val="1"/>
      <w:tblCellMar>
        <w:top w:w="57.0" w:type="dxa"/>
        <w:left w:w="115.0" w:type="dxa"/>
        <w:bottom w:w="57.0" w:type="dxa"/>
        <w:right w:w="115.0" w:type="dxa"/>
      </w:tblCellMar>
    </w:tblPr>
  </w:style>
  <w:style w:type="table" w:styleId="42" w:customStyle="1">
    <w:name w:val="42"/>
    <w:basedOn w:val="TableNormal"/>
    <w:tblPr>
      <w:tblStyleRowBandSize w:val="1"/>
      <w:tblStyleColBandSize w:val="1"/>
      <w:tblCellMar>
        <w:top w:w="57.0" w:type="dxa"/>
        <w:left w:w="115.0" w:type="dxa"/>
        <w:bottom w:w="57.0" w:type="dxa"/>
        <w:right w:w="115.0" w:type="dxa"/>
      </w:tblCellMar>
    </w:tblPr>
  </w:style>
  <w:style w:type="table" w:styleId="41" w:customStyle="1">
    <w:name w:val="41"/>
    <w:basedOn w:val="TableNormal"/>
    <w:tblPr>
      <w:tblStyleRowBandSize w:val="1"/>
      <w:tblStyleColBandSize w:val="1"/>
      <w:tblCellMar>
        <w:top w:w="57.0" w:type="dxa"/>
        <w:left w:w="115.0" w:type="dxa"/>
        <w:bottom w:w="57.0" w:type="dxa"/>
        <w:right w:w="115.0" w:type="dxa"/>
      </w:tblCellMar>
    </w:tblPr>
  </w:style>
  <w:style w:type="table" w:styleId="40" w:customStyle="1">
    <w:name w:val="40"/>
    <w:basedOn w:val="TableNormal"/>
    <w:tblPr>
      <w:tblStyleRowBandSize w:val="1"/>
      <w:tblStyleColBandSize w:val="1"/>
      <w:tblCellMar>
        <w:top w:w="57.0" w:type="dxa"/>
        <w:left w:w="115.0" w:type="dxa"/>
        <w:bottom w:w="57.0" w:type="dxa"/>
        <w:right w:w="115.0" w:type="dxa"/>
      </w:tblCellMar>
    </w:tblPr>
  </w:style>
  <w:style w:type="table" w:styleId="39" w:customStyle="1">
    <w:name w:val="39"/>
    <w:basedOn w:val="TableNormal"/>
    <w:tblPr>
      <w:tblStyleRowBandSize w:val="1"/>
      <w:tblStyleColBandSize w:val="1"/>
      <w:tblCellMar>
        <w:left w:w="57.0" w:type="dxa"/>
        <w:right w:w="57.0" w:type="dxa"/>
      </w:tblCellMar>
    </w:tblPr>
  </w:style>
  <w:style w:type="table" w:styleId="38" w:customStyle="1">
    <w:name w:val="38"/>
    <w:basedOn w:val="TableNormal"/>
    <w:tblPr>
      <w:tblStyleRowBandSize w:val="1"/>
      <w:tblStyleColBandSize w:val="1"/>
      <w:tblCellMar>
        <w:top w:w="57.0" w:type="dxa"/>
        <w:left w:w="57.0" w:type="dxa"/>
        <w:bottom w:w="57.0" w:type="dxa"/>
        <w:right w:w="57.0" w:type="dxa"/>
      </w:tblCellMar>
    </w:tblPr>
  </w:style>
  <w:style w:type="table" w:styleId="37" w:customStyle="1">
    <w:name w:val="37"/>
    <w:basedOn w:val="TableNormal"/>
    <w:tblPr>
      <w:tblStyleRowBandSize w:val="1"/>
      <w:tblStyleColBandSize w:val="1"/>
      <w:tblCellMar>
        <w:top w:w="113.0" w:type="dxa"/>
        <w:left w:w="0.0" w:type="dxa"/>
        <w:bottom w:w="113.0" w:type="dxa"/>
        <w:right w:w="0.0" w:type="dxa"/>
      </w:tblCellMar>
    </w:tblPr>
  </w:style>
  <w:style w:type="table" w:styleId="36" w:customStyle="1">
    <w:name w:val="36"/>
    <w:basedOn w:val="TableNormal"/>
    <w:tblPr>
      <w:tblStyleRowBandSize w:val="1"/>
      <w:tblStyleColBandSize w:val="1"/>
    </w:tblPr>
  </w:style>
  <w:style w:type="table" w:styleId="35" w:customStyle="1">
    <w:name w:val="35"/>
    <w:basedOn w:val="TableNormal"/>
    <w:tblPr>
      <w:tblStyleRowBandSize w:val="1"/>
      <w:tblStyleColBandSize w:val="1"/>
      <w:tblCellMar>
        <w:top w:w="15.0" w:type="dxa"/>
        <w:left w:w="15.0" w:type="dxa"/>
        <w:bottom w:w="15.0" w:type="dxa"/>
        <w:right w:w="15.0" w:type="dxa"/>
      </w:tblCellMar>
    </w:tblPr>
  </w:style>
  <w:style w:type="table" w:styleId="34" w:customStyle="1">
    <w:name w:val="34"/>
    <w:basedOn w:val="TableNormal"/>
    <w:tblPr>
      <w:tblStyleRowBandSize w:val="1"/>
      <w:tblStyleColBandSize w:val="1"/>
      <w:tblCellMar>
        <w:top w:w="15.0" w:type="dxa"/>
        <w:left w:w="15.0" w:type="dxa"/>
        <w:bottom w:w="15.0" w:type="dxa"/>
        <w:right w:w="15.0" w:type="dxa"/>
      </w:tblCellMar>
    </w:tblPr>
  </w:style>
  <w:style w:type="table" w:styleId="33" w:customStyle="1">
    <w:name w:val="33"/>
    <w:basedOn w:val="TableNormal"/>
    <w:tblPr>
      <w:tblStyleRowBandSize w:val="1"/>
      <w:tblStyleColBandSize w:val="1"/>
    </w:tblPr>
  </w:style>
  <w:style w:type="table" w:styleId="32" w:customStyle="1">
    <w:name w:val="32"/>
    <w:basedOn w:val="TableNormal"/>
    <w:tblPr>
      <w:tblStyleRowBandSize w:val="1"/>
      <w:tblStyleColBandSize w:val="1"/>
      <w:tblCellMar>
        <w:top w:w="113.0" w:type="dxa"/>
        <w:left w:w="0.0" w:type="dxa"/>
        <w:bottom w:w="113.0" w:type="dxa"/>
        <w:right w:w="0.0" w:type="dxa"/>
      </w:tblCellMar>
    </w:tblPr>
  </w:style>
  <w:style w:type="table" w:styleId="31" w:customStyle="1">
    <w:name w:val="31"/>
    <w:basedOn w:val="TableNormal"/>
    <w:tblPr>
      <w:tblStyleRowBandSize w:val="1"/>
      <w:tblStyleColBandSize w:val="1"/>
      <w:tblCellMar>
        <w:top w:w="113.0" w:type="dxa"/>
        <w:left w:w="0.0" w:type="dxa"/>
        <w:bottom w:w="113.0" w:type="dxa"/>
        <w:right w:w="0.0" w:type="dxa"/>
      </w:tblCellMar>
    </w:tblPr>
  </w:style>
  <w:style w:type="table" w:styleId="30" w:customStyle="1">
    <w:name w:val="30"/>
    <w:basedOn w:val="TableNormal"/>
    <w:tblPr>
      <w:tblStyleRowBandSize w:val="1"/>
      <w:tblStyleColBandSize w:val="1"/>
      <w:tblCellMar>
        <w:top w:w="57.0" w:type="dxa"/>
        <w:left w:w="115.0" w:type="dxa"/>
        <w:bottom w:w="57.0" w:type="dxa"/>
        <w:right w:w="115.0" w:type="dxa"/>
      </w:tblCellMar>
    </w:tblPr>
  </w:style>
  <w:style w:type="table" w:styleId="29" w:customStyle="1">
    <w:name w:val="29"/>
    <w:basedOn w:val="TableNormal"/>
    <w:tblPr>
      <w:tblStyleRowBandSize w:val="1"/>
      <w:tblStyleColBandSize w:val="1"/>
      <w:tblCellMar>
        <w:top w:w="57.0" w:type="dxa"/>
        <w:left w:w="115.0" w:type="dxa"/>
        <w:bottom w:w="57.0" w:type="dxa"/>
        <w:right w:w="115.0" w:type="dxa"/>
      </w:tblCellMar>
    </w:tblPr>
  </w:style>
  <w:style w:type="table" w:styleId="28" w:customStyle="1">
    <w:name w:val="28"/>
    <w:basedOn w:val="TableNormal"/>
    <w:tblPr>
      <w:tblStyleRowBandSize w:val="1"/>
      <w:tblStyleColBandSize w:val="1"/>
      <w:tblCellMar>
        <w:top w:w="57.0" w:type="dxa"/>
        <w:left w:w="115.0" w:type="dxa"/>
        <w:bottom w:w="57.0" w:type="dxa"/>
        <w:right w:w="115.0" w:type="dxa"/>
      </w:tblCellMar>
    </w:tblPr>
  </w:style>
  <w:style w:type="table" w:styleId="27" w:customStyle="1">
    <w:name w:val="27"/>
    <w:basedOn w:val="TableNormal"/>
    <w:tblPr>
      <w:tblStyleRowBandSize w:val="1"/>
      <w:tblStyleColBandSize w:val="1"/>
      <w:tblCellMar>
        <w:top w:w="57.0" w:type="dxa"/>
        <w:left w:w="115.0" w:type="dxa"/>
        <w:bottom w:w="57.0" w:type="dxa"/>
        <w:right w:w="115.0" w:type="dxa"/>
      </w:tblCellMar>
    </w:tblPr>
  </w:style>
  <w:style w:type="table" w:styleId="26" w:customStyle="1">
    <w:name w:val="26"/>
    <w:basedOn w:val="TableNormal"/>
    <w:tblPr>
      <w:tblStyleRowBandSize w:val="1"/>
      <w:tblStyleColBandSize w:val="1"/>
      <w:tblCellMar>
        <w:top w:w="57.0" w:type="dxa"/>
        <w:left w:w="115.0" w:type="dxa"/>
        <w:bottom w:w="57.0" w:type="dxa"/>
        <w:right w:w="115.0" w:type="dxa"/>
      </w:tblCellMar>
    </w:tblPr>
  </w:style>
  <w:style w:type="table" w:styleId="25" w:customStyle="1">
    <w:name w:val="25"/>
    <w:basedOn w:val="TableNormal"/>
    <w:tblPr>
      <w:tblStyleRowBandSize w:val="1"/>
      <w:tblStyleColBandSize w:val="1"/>
      <w:tblCellMar>
        <w:top w:w="57.0" w:type="dxa"/>
        <w:left w:w="115.0" w:type="dxa"/>
        <w:bottom w:w="57.0" w:type="dxa"/>
        <w:right w:w="115.0" w:type="dxa"/>
      </w:tblCellMar>
    </w:tblPr>
  </w:style>
  <w:style w:type="table" w:styleId="24" w:customStyle="1">
    <w:name w:val="24"/>
    <w:basedOn w:val="TableNormal"/>
    <w:tblPr>
      <w:tblStyleRowBandSize w:val="1"/>
      <w:tblStyleColBandSize w:val="1"/>
      <w:tblCellMar>
        <w:top w:w="57.0" w:type="dxa"/>
        <w:left w:w="115.0" w:type="dxa"/>
        <w:bottom w:w="57.0" w:type="dxa"/>
        <w:right w:w="115.0" w:type="dxa"/>
      </w:tblCellMar>
    </w:tblPr>
  </w:style>
  <w:style w:type="table" w:styleId="23" w:customStyle="1">
    <w:name w:val="23"/>
    <w:basedOn w:val="TableNormal"/>
    <w:tblPr>
      <w:tblStyleRowBandSize w:val="1"/>
      <w:tblStyleColBandSize w:val="1"/>
      <w:tblCellMar>
        <w:top w:w="57.0" w:type="dxa"/>
        <w:left w:w="115.0" w:type="dxa"/>
        <w:bottom w:w="57.0" w:type="dxa"/>
        <w:right w:w="115.0" w:type="dxa"/>
      </w:tblCellMar>
    </w:tblPr>
  </w:style>
  <w:style w:type="table" w:styleId="22" w:customStyle="1">
    <w:name w:val="22"/>
    <w:basedOn w:val="TableNormal"/>
    <w:tblPr>
      <w:tblStyleRowBandSize w:val="1"/>
      <w:tblStyleColBandSize w:val="1"/>
      <w:tblCellMar>
        <w:top w:w="57.0" w:type="dxa"/>
        <w:left w:w="115.0" w:type="dxa"/>
        <w:bottom w:w="57.0" w:type="dxa"/>
        <w:right w:w="115.0" w:type="dxa"/>
      </w:tblCellMar>
    </w:tblPr>
  </w:style>
  <w:style w:type="table" w:styleId="21" w:customStyle="1">
    <w:name w:val="21"/>
    <w:basedOn w:val="TableNormal"/>
    <w:tblPr>
      <w:tblStyleRowBandSize w:val="1"/>
      <w:tblStyleColBandSize w:val="1"/>
      <w:tblCellMar>
        <w:top w:w="57.0" w:type="dxa"/>
        <w:left w:w="115.0" w:type="dxa"/>
        <w:bottom w:w="57.0" w:type="dxa"/>
        <w:right w:w="115.0" w:type="dxa"/>
      </w:tblCellMar>
    </w:tblPr>
  </w:style>
  <w:style w:type="table" w:styleId="20" w:customStyle="1">
    <w:name w:val="20"/>
    <w:basedOn w:val="TableNormal"/>
    <w:tblPr>
      <w:tblStyleRowBandSize w:val="1"/>
      <w:tblStyleColBandSize w:val="1"/>
      <w:tblCellMar>
        <w:left w:w="57.0" w:type="dxa"/>
        <w:right w:w="57.0" w:type="dxa"/>
      </w:tblCellMar>
    </w:tblPr>
  </w:style>
  <w:style w:type="table" w:styleId="19" w:customStyle="1">
    <w:name w:val="19"/>
    <w:basedOn w:val="TableNormal"/>
    <w:tblPr>
      <w:tblStyleRowBandSize w:val="1"/>
      <w:tblStyleColBandSize w:val="1"/>
      <w:tblCellMar>
        <w:left w:w="57.0" w:type="dxa"/>
        <w:right w:w="57.0" w:type="dxa"/>
      </w:tblCellMar>
    </w:tblPr>
  </w:style>
  <w:style w:type="table" w:styleId="18" w:customStyle="1">
    <w:name w:val="18"/>
    <w:basedOn w:val="TableNormal"/>
    <w:tblPr>
      <w:tblStyleRowBandSize w:val="1"/>
      <w:tblStyleColBandSize w:val="1"/>
      <w:tblCellMar>
        <w:left w:w="57.0" w:type="dxa"/>
        <w:right w:w="57.0" w:type="dxa"/>
      </w:tblCellMar>
    </w:tblPr>
  </w:style>
  <w:style w:type="table" w:styleId="17" w:customStyle="1">
    <w:name w:val="17"/>
    <w:basedOn w:val="TableNormal"/>
    <w:tblPr>
      <w:tblStyleRowBandSize w:val="1"/>
      <w:tblStyleColBandSize w:val="1"/>
      <w:tblCellMar>
        <w:left w:w="57.0" w:type="dxa"/>
        <w:right w:w="57.0" w:type="dxa"/>
      </w:tblCellMar>
    </w:tblPr>
  </w:style>
  <w:style w:type="table" w:styleId="16" w:customStyle="1">
    <w:name w:val="16"/>
    <w:basedOn w:val="TableNormal"/>
    <w:tblPr>
      <w:tblStyleRowBandSize w:val="1"/>
      <w:tblStyleColBandSize w:val="1"/>
      <w:tblCellMar>
        <w:top w:w="57.0" w:type="dxa"/>
        <w:left w:w="115.0" w:type="dxa"/>
        <w:bottom w:w="57.0" w:type="dxa"/>
        <w:right w:w="115.0" w:type="dxa"/>
      </w:tblCellMar>
    </w:tblPr>
  </w:style>
  <w:style w:type="table" w:styleId="15" w:customStyle="1">
    <w:name w:val="15"/>
    <w:basedOn w:val="TableNormal"/>
    <w:tblPr>
      <w:tblStyleRowBandSize w:val="1"/>
      <w:tblStyleColBandSize w:val="1"/>
      <w:tblCellMar>
        <w:top w:w="57.0" w:type="dxa"/>
        <w:left w:w="115.0" w:type="dxa"/>
        <w:bottom w:w="57.0" w:type="dxa"/>
        <w:right w:w="115.0" w:type="dxa"/>
      </w:tblCellMar>
    </w:tblPr>
  </w:style>
  <w:style w:type="table" w:styleId="14" w:customStyle="1">
    <w:name w:val="14"/>
    <w:basedOn w:val="TableNormal"/>
    <w:tblPr>
      <w:tblStyleRowBandSize w:val="1"/>
      <w:tblStyleColBandSize w:val="1"/>
      <w:tblCellMar>
        <w:top w:w="57.0" w:type="dxa"/>
        <w:left w:w="115.0" w:type="dxa"/>
        <w:bottom w:w="57.0" w:type="dxa"/>
        <w:right w:w="115.0" w:type="dxa"/>
      </w:tblCellMar>
    </w:tblPr>
  </w:style>
  <w:style w:type="table" w:styleId="13" w:customStyle="1">
    <w:name w:val="13"/>
    <w:basedOn w:val="TableNormal"/>
    <w:tblPr>
      <w:tblStyleRowBandSize w:val="1"/>
      <w:tblStyleColBandSize w:val="1"/>
      <w:tblCellMar>
        <w:top w:w="57.0" w:type="dxa"/>
        <w:left w:w="115.0" w:type="dxa"/>
        <w:bottom w:w="57.0" w:type="dxa"/>
        <w:right w:w="115.0" w:type="dxa"/>
      </w:tblCellMar>
    </w:tblPr>
  </w:style>
  <w:style w:type="table" w:styleId="12" w:customStyle="1">
    <w:name w:val="12"/>
    <w:basedOn w:val="TableNormal"/>
    <w:tblPr>
      <w:tblStyleRowBandSize w:val="1"/>
      <w:tblStyleColBandSize w:val="1"/>
      <w:tblCellMar>
        <w:top w:w="57.0" w:type="dxa"/>
        <w:left w:w="115.0" w:type="dxa"/>
        <w:bottom w:w="57.0" w:type="dxa"/>
        <w:right w:w="115.0" w:type="dxa"/>
      </w:tblCellMar>
    </w:tblPr>
  </w:style>
  <w:style w:type="table" w:styleId="11" w:customStyle="1">
    <w:name w:val="11"/>
    <w:basedOn w:val="TableNormal"/>
    <w:tblPr>
      <w:tblStyleRowBandSize w:val="1"/>
      <w:tblStyleColBandSize w:val="1"/>
      <w:tblCellMar>
        <w:top w:w="57.0" w:type="dxa"/>
        <w:left w:w="115.0" w:type="dxa"/>
        <w:bottom w:w="57.0" w:type="dxa"/>
        <w:right w:w="115.0" w:type="dxa"/>
      </w:tblCellMar>
    </w:tblPr>
  </w:style>
  <w:style w:type="table" w:styleId="10" w:customStyle="1">
    <w:name w:val="10"/>
    <w:basedOn w:val="TableNormal"/>
    <w:tblPr>
      <w:tblStyleRowBandSize w:val="1"/>
      <w:tblStyleColBandSize w:val="1"/>
      <w:tblCellMar>
        <w:top w:w="57.0" w:type="dxa"/>
        <w:left w:w="115.0" w:type="dxa"/>
        <w:bottom w:w="57.0" w:type="dxa"/>
        <w:right w:w="115.0" w:type="dxa"/>
      </w:tblCellMar>
    </w:tblPr>
  </w:style>
  <w:style w:type="table" w:styleId="9" w:customStyle="1">
    <w:name w:val="9"/>
    <w:basedOn w:val="TableNormal"/>
    <w:tblPr>
      <w:tblStyleRowBandSize w:val="1"/>
      <w:tblStyleColBandSize w:val="1"/>
      <w:tblCellMar>
        <w:top w:w="57.0" w:type="dxa"/>
        <w:left w:w="115.0" w:type="dxa"/>
        <w:bottom w:w="57.0" w:type="dxa"/>
        <w:right w:w="115.0" w:type="dxa"/>
      </w:tblCellMar>
    </w:tblPr>
  </w:style>
  <w:style w:type="table" w:styleId="8" w:customStyle="1">
    <w:name w:val="8"/>
    <w:basedOn w:val="TableNormal"/>
    <w:tblPr>
      <w:tblStyleRowBandSize w:val="1"/>
      <w:tblStyleColBandSize w:val="1"/>
      <w:tblCellMar>
        <w:top w:w="57.0" w:type="dxa"/>
        <w:left w:w="115.0" w:type="dxa"/>
        <w:bottom w:w="57.0" w:type="dxa"/>
        <w:right w:w="115.0" w:type="dxa"/>
      </w:tblCellMar>
    </w:tblPr>
  </w:style>
  <w:style w:type="table" w:styleId="7" w:customStyle="1">
    <w:name w:val="7"/>
    <w:basedOn w:val="TableNormal"/>
    <w:tblPr>
      <w:tblStyleRowBandSize w:val="1"/>
      <w:tblStyleColBandSize w:val="1"/>
      <w:tblCellMar>
        <w:top w:w="15.0" w:type="dxa"/>
        <w:left w:w="15.0" w:type="dxa"/>
        <w:bottom w:w="15.0" w:type="dxa"/>
        <w:right w:w="15.0" w:type="dxa"/>
      </w:tblCellMar>
    </w:tblPr>
  </w:style>
  <w:style w:type="table" w:styleId="6" w:customStyle="1">
    <w:name w:val="6"/>
    <w:basedOn w:val="TableNormal"/>
    <w:tblPr>
      <w:tblStyleRowBandSize w:val="1"/>
      <w:tblStyleColBandSize w:val="1"/>
      <w:tblCellMar>
        <w:top w:w="15.0" w:type="dxa"/>
        <w:left w:w="15.0" w:type="dxa"/>
        <w:bottom w:w="15.0" w:type="dxa"/>
        <w:right w:w="15.0" w:type="dxa"/>
      </w:tblCellMar>
    </w:tblPr>
  </w:style>
  <w:style w:type="table" w:styleId="5" w:customStyle="1">
    <w:name w:val="5"/>
    <w:basedOn w:val="TableNormal"/>
    <w:tblPr>
      <w:tblStyleRowBandSize w:val="1"/>
      <w:tblStyleColBandSize w:val="1"/>
      <w:tblCellMar>
        <w:top w:w="15.0" w:type="dxa"/>
        <w:left w:w="15.0" w:type="dxa"/>
        <w:bottom w:w="15.0" w:type="dxa"/>
        <w:right w:w="15.0" w:type="dxa"/>
      </w:tblCellMar>
    </w:tblPr>
  </w:style>
  <w:style w:type="table" w:styleId="4" w:customStyle="1">
    <w:name w:val="4"/>
    <w:basedOn w:val="TableNormal"/>
    <w:tblPr>
      <w:tblStyleRowBandSize w:val="1"/>
      <w:tblStyleColBandSize w:val="1"/>
      <w:tblCellMar>
        <w:top w:w="15.0" w:type="dxa"/>
        <w:left w:w="15.0" w:type="dxa"/>
        <w:bottom w:w="15.0" w:type="dxa"/>
        <w:right w:w="15.0" w:type="dxa"/>
      </w:tblCellMar>
    </w:tblPr>
  </w:style>
  <w:style w:type="table" w:styleId="3" w:customStyle="1">
    <w:name w:val="3"/>
    <w:basedOn w:val="TableNormal"/>
    <w:tblPr>
      <w:tblStyleRowBandSize w:val="1"/>
      <w:tblStyleColBandSize w:val="1"/>
      <w:tblCellMar>
        <w:top w:w="15.0" w:type="dxa"/>
        <w:left w:w="15.0" w:type="dxa"/>
        <w:bottom w:w="15.0" w:type="dxa"/>
        <w:right w:w="15.0" w:type="dxa"/>
      </w:tblCellMar>
    </w:tblPr>
  </w:style>
  <w:style w:type="table" w:styleId="2" w:customStyle="1">
    <w:name w:val="2"/>
    <w:basedOn w:val="TableNormal"/>
    <w:tblPr>
      <w:tblStyleRowBandSize w:val="1"/>
      <w:tblStyleColBandSize w:val="1"/>
      <w:tblCellMar>
        <w:top w:w="15.0" w:type="dxa"/>
        <w:left w:w="15.0" w:type="dxa"/>
        <w:bottom w:w="15.0" w:type="dxa"/>
        <w:right w:w="15.0" w:type="dxa"/>
      </w:tblCellMar>
    </w:tblPr>
  </w:style>
  <w:style w:type="table" w:styleId="1" w:customStyle="1">
    <w:name w:val="1"/>
    <w:basedOn w:val="TableNormal"/>
    <w:tblPr>
      <w:tblStyleRowBandSize w:val="1"/>
      <w:tblStyleColBandSize w:val="1"/>
      <w:tblCellMar>
        <w:top w:w="15.0" w:type="dxa"/>
        <w:left w:w="15.0" w:type="dxa"/>
        <w:bottom w:w="15.0" w:type="dxa"/>
        <w:right w:w="15.0" w:type="dxa"/>
      </w:tblCellMar>
    </w:tblPr>
  </w:style>
  <w:style w:type="paragraph" w:styleId="NoSpacing">
    <w:name w:val="No Spacing"/>
    <w:uiPriority w:val="1"/>
    <w:qFormat w:val="1"/>
    <w:rsid w:val="003738B1"/>
    <w:rPr>
      <w:rFonts w:asciiTheme="minorHAnsi" w:hAnsiTheme="minorHAnsi"/>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113.0" w:type="dxa"/>
        <w:left w:w="0.0" w:type="dxa"/>
        <w:bottom w:w="113.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113.0" w:type="dxa"/>
        <w:left w:w="0.0" w:type="dxa"/>
        <w:bottom w:w="113.0" w:type="dxa"/>
        <w:right w:w="0.0" w:type="dxa"/>
      </w:tblCellMar>
    </w:tblPr>
  </w:style>
  <w:style w:type="table" w:styleId="Table9">
    <w:basedOn w:val="TableNormal"/>
    <w:tblPr>
      <w:tblStyleRowBandSize w:val="1"/>
      <w:tblStyleColBandSize w:val="1"/>
      <w:tblCellMar>
        <w:top w:w="113.0" w:type="dxa"/>
        <w:left w:w="0.0" w:type="dxa"/>
        <w:bottom w:w="113.0" w:type="dxa"/>
        <w:right w:w="0.0" w:type="dxa"/>
      </w:tblCellMar>
    </w:tblPr>
  </w:style>
  <w:style w:type="table" w:styleId="Table10">
    <w:basedOn w:val="TableNormal"/>
    <w:tblPr>
      <w:tblStyleRowBandSize w:val="1"/>
      <w:tblStyleColBandSize w:val="1"/>
      <w:tblCellMar>
        <w:top w:w="57.0" w:type="dxa"/>
        <w:left w:w="115.0" w:type="dxa"/>
        <w:bottom w:w="57.0" w:type="dxa"/>
        <w:right w:w="115.0" w:type="dxa"/>
      </w:tblCellMar>
    </w:tblPr>
  </w:style>
  <w:style w:type="table" w:styleId="Table11">
    <w:basedOn w:val="TableNormal"/>
    <w:tblPr>
      <w:tblStyleRowBandSize w:val="1"/>
      <w:tblStyleColBandSize w:val="1"/>
      <w:tblCellMar>
        <w:top w:w="57.0" w:type="dxa"/>
        <w:left w:w="115.0" w:type="dxa"/>
        <w:bottom w:w="57.0" w:type="dxa"/>
        <w:right w:w="115.0" w:type="dxa"/>
      </w:tblCellMar>
    </w:tblPr>
  </w:style>
  <w:style w:type="table" w:styleId="Table12">
    <w:basedOn w:val="TableNormal"/>
    <w:tblPr>
      <w:tblStyleRowBandSize w:val="1"/>
      <w:tblStyleColBandSize w:val="1"/>
      <w:tblCellMar>
        <w:top w:w="57.0" w:type="dxa"/>
        <w:left w:w="115.0" w:type="dxa"/>
        <w:bottom w:w="57.0" w:type="dxa"/>
        <w:right w:w="115.0" w:type="dxa"/>
      </w:tblCellMar>
    </w:tblPr>
  </w:style>
  <w:style w:type="table" w:styleId="Table13">
    <w:basedOn w:val="TableNormal"/>
    <w:tblPr>
      <w:tblStyleRowBandSize w:val="1"/>
      <w:tblStyleColBandSize w:val="1"/>
      <w:tblCellMar>
        <w:top w:w="57.0" w:type="dxa"/>
        <w:left w:w="115.0" w:type="dxa"/>
        <w:bottom w:w="57.0" w:type="dxa"/>
        <w:right w:w="115.0" w:type="dxa"/>
      </w:tblCellMar>
    </w:tblPr>
  </w:style>
  <w:style w:type="table" w:styleId="Table14">
    <w:basedOn w:val="TableNormal"/>
    <w:tblPr>
      <w:tblStyleRowBandSize w:val="1"/>
      <w:tblStyleColBandSize w:val="1"/>
      <w:tblCellMar>
        <w:top w:w="57.0" w:type="dxa"/>
        <w:left w:w="115.0" w:type="dxa"/>
        <w:bottom w:w="57.0" w:type="dxa"/>
        <w:right w:w="115.0" w:type="dxa"/>
      </w:tblCellMar>
    </w:tblPr>
  </w:style>
  <w:style w:type="table" w:styleId="Table15">
    <w:basedOn w:val="TableNormal"/>
    <w:tblPr>
      <w:tblStyleRowBandSize w:val="1"/>
      <w:tblStyleColBandSize w:val="1"/>
      <w:tblCellMar>
        <w:top w:w="57.0" w:type="dxa"/>
        <w:left w:w="115.0" w:type="dxa"/>
        <w:bottom w:w="57.0" w:type="dxa"/>
        <w:right w:w="115.0" w:type="dxa"/>
      </w:tblCellMar>
    </w:tblPr>
  </w:style>
  <w:style w:type="table" w:styleId="Table16">
    <w:basedOn w:val="TableNormal"/>
    <w:tblPr>
      <w:tblStyleRowBandSize w:val="1"/>
      <w:tblStyleColBandSize w:val="1"/>
      <w:tblCellMar>
        <w:top w:w="57.0" w:type="dxa"/>
        <w:left w:w="115.0" w:type="dxa"/>
        <w:bottom w:w="57.0" w:type="dxa"/>
        <w:right w:w="115.0" w:type="dxa"/>
      </w:tblCellMar>
    </w:tblPr>
  </w:style>
  <w:style w:type="table" w:styleId="Table17">
    <w:basedOn w:val="TableNormal"/>
    <w:tblPr>
      <w:tblStyleRowBandSize w:val="1"/>
      <w:tblStyleColBandSize w:val="1"/>
      <w:tblCellMar>
        <w:top w:w="57.0" w:type="dxa"/>
        <w:left w:w="115.0" w:type="dxa"/>
        <w:bottom w:w="57.0" w:type="dxa"/>
        <w:right w:w="115.0" w:type="dxa"/>
      </w:tblCellMar>
    </w:tblPr>
  </w:style>
  <w:style w:type="table" w:styleId="Table18">
    <w:basedOn w:val="TableNormal"/>
    <w:tblPr>
      <w:tblStyleRowBandSize w:val="1"/>
      <w:tblStyleColBandSize w:val="1"/>
      <w:tblCellMar>
        <w:top w:w="57.0" w:type="dxa"/>
        <w:left w:w="115.0" w:type="dxa"/>
        <w:bottom w:w="57.0" w:type="dxa"/>
        <w:right w:w="115.0" w:type="dxa"/>
      </w:tblCellMar>
    </w:tblPr>
  </w:style>
  <w:style w:type="table" w:styleId="Table19">
    <w:basedOn w:val="TableNormal"/>
    <w:tblPr>
      <w:tblStyleRowBandSize w:val="1"/>
      <w:tblStyleColBandSize w:val="1"/>
      <w:tblCellMar>
        <w:top w:w="57.0" w:type="dxa"/>
        <w:left w:w="115.0" w:type="dxa"/>
        <w:bottom w:w="57.0" w:type="dxa"/>
        <w:right w:w="115.0" w:type="dxa"/>
      </w:tblCellMar>
    </w:tblPr>
  </w:style>
  <w:style w:type="table" w:styleId="Table20">
    <w:basedOn w:val="TableNormal"/>
    <w:tblPr>
      <w:tblStyleRowBandSize w:val="1"/>
      <w:tblStyleColBandSize w:val="1"/>
      <w:tblCellMar>
        <w:top w:w="0.0" w:type="dxa"/>
        <w:left w:w="57.0" w:type="dxa"/>
        <w:bottom w:w="0.0" w:type="dxa"/>
        <w:right w:w="57.0" w:type="dxa"/>
      </w:tblCellMar>
    </w:tblPr>
  </w:style>
  <w:style w:type="table" w:styleId="Table21">
    <w:basedOn w:val="TableNormal"/>
    <w:tblPr>
      <w:tblStyleRowBandSize w:val="1"/>
      <w:tblStyleColBandSize w:val="1"/>
      <w:tblCellMar>
        <w:top w:w="0.0" w:type="dxa"/>
        <w:left w:w="57.0" w:type="dxa"/>
        <w:bottom w:w="0.0" w:type="dxa"/>
        <w:right w:w="57.0" w:type="dxa"/>
      </w:tblCellMar>
    </w:tblPr>
  </w:style>
  <w:style w:type="table" w:styleId="Table22">
    <w:basedOn w:val="TableNormal"/>
    <w:tblPr>
      <w:tblStyleRowBandSize w:val="1"/>
      <w:tblStyleColBandSize w:val="1"/>
      <w:tblCellMar>
        <w:top w:w="0.0" w:type="dxa"/>
        <w:left w:w="57.0" w:type="dxa"/>
        <w:bottom w:w="0.0" w:type="dxa"/>
        <w:right w:w="57.0" w:type="dxa"/>
      </w:tblCellMar>
    </w:tblPr>
  </w:style>
  <w:style w:type="table" w:styleId="Table23">
    <w:basedOn w:val="TableNormal"/>
    <w:tblPr>
      <w:tblStyleRowBandSize w:val="1"/>
      <w:tblStyleColBandSize w:val="1"/>
      <w:tblCellMar>
        <w:top w:w="0.0" w:type="dxa"/>
        <w:left w:w="57.0" w:type="dxa"/>
        <w:bottom w:w="0.0" w:type="dxa"/>
        <w:right w:w="57.0" w:type="dxa"/>
      </w:tblCellMar>
    </w:tblPr>
  </w:style>
  <w:style w:type="table" w:styleId="Table24">
    <w:basedOn w:val="TableNormal"/>
    <w:tblPr>
      <w:tblStyleRowBandSize w:val="1"/>
      <w:tblStyleColBandSize w:val="1"/>
      <w:tblCellMar>
        <w:top w:w="57.0" w:type="dxa"/>
        <w:left w:w="115.0" w:type="dxa"/>
        <w:bottom w:w="57.0" w:type="dxa"/>
        <w:right w:w="115.0" w:type="dxa"/>
      </w:tblCellMar>
    </w:tblPr>
  </w:style>
  <w:style w:type="table" w:styleId="Table25">
    <w:basedOn w:val="TableNormal"/>
    <w:tblPr>
      <w:tblStyleRowBandSize w:val="1"/>
      <w:tblStyleColBandSize w:val="1"/>
      <w:tblCellMar>
        <w:top w:w="57.0" w:type="dxa"/>
        <w:left w:w="115.0" w:type="dxa"/>
        <w:bottom w:w="57.0" w:type="dxa"/>
        <w:right w:w="115.0" w:type="dxa"/>
      </w:tblCellMar>
    </w:tblPr>
  </w:style>
  <w:style w:type="table" w:styleId="Table26">
    <w:basedOn w:val="TableNormal"/>
    <w:tblPr>
      <w:tblStyleRowBandSize w:val="1"/>
      <w:tblStyleColBandSize w:val="1"/>
      <w:tblCellMar>
        <w:top w:w="57.0" w:type="dxa"/>
        <w:left w:w="115.0" w:type="dxa"/>
        <w:bottom w:w="57.0" w:type="dxa"/>
        <w:right w:w="115.0" w:type="dxa"/>
      </w:tblCellMar>
    </w:tblPr>
  </w:style>
  <w:style w:type="table" w:styleId="Table27">
    <w:basedOn w:val="TableNormal"/>
    <w:tblPr>
      <w:tblStyleRowBandSize w:val="1"/>
      <w:tblStyleColBandSize w:val="1"/>
      <w:tblCellMar>
        <w:top w:w="57.0" w:type="dxa"/>
        <w:left w:w="115.0" w:type="dxa"/>
        <w:bottom w:w="57.0" w:type="dxa"/>
        <w:right w:w="115.0" w:type="dxa"/>
      </w:tblCellMar>
    </w:tblPr>
  </w:style>
  <w:style w:type="table" w:styleId="Table28">
    <w:basedOn w:val="TableNormal"/>
    <w:tblPr>
      <w:tblStyleRowBandSize w:val="1"/>
      <w:tblStyleColBandSize w:val="1"/>
      <w:tblCellMar>
        <w:top w:w="57.0" w:type="dxa"/>
        <w:left w:w="115.0" w:type="dxa"/>
        <w:bottom w:w="57.0" w:type="dxa"/>
        <w:right w:w="115.0" w:type="dxa"/>
      </w:tblCellMar>
    </w:tblPr>
  </w:style>
  <w:style w:type="table" w:styleId="Table29">
    <w:basedOn w:val="TableNormal"/>
    <w:tblPr>
      <w:tblStyleRowBandSize w:val="1"/>
      <w:tblStyleColBandSize w:val="1"/>
      <w:tblCellMar>
        <w:top w:w="57.0" w:type="dxa"/>
        <w:left w:w="115.0" w:type="dxa"/>
        <w:bottom w:w="57.0" w:type="dxa"/>
        <w:right w:w="115.0" w:type="dxa"/>
      </w:tblCellMar>
    </w:tblPr>
  </w:style>
  <w:style w:type="table" w:styleId="Table30">
    <w:basedOn w:val="TableNormal"/>
    <w:tblPr>
      <w:tblStyleRowBandSize w:val="1"/>
      <w:tblStyleColBandSize w:val="1"/>
      <w:tblCellMar>
        <w:top w:w="57.0" w:type="dxa"/>
        <w:left w:w="115.0" w:type="dxa"/>
        <w:bottom w:w="57.0" w:type="dxa"/>
        <w:right w:w="115.0" w:type="dxa"/>
      </w:tblCellMar>
    </w:tblPr>
  </w:style>
  <w:style w:type="table" w:styleId="Table31">
    <w:basedOn w:val="TableNormal"/>
    <w:tblPr>
      <w:tblStyleRowBandSize w:val="1"/>
      <w:tblStyleColBandSize w:val="1"/>
      <w:tblCellMar>
        <w:top w:w="57.0" w:type="dxa"/>
        <w:left w:w="115.0" w:type="dxa"/>
        <w:bottom w:w="57.0" w:type="dxa"/>
        <w:right w:w="115.0" w:type="dxa"/>
      </w:tblCellMar>
    </w:tblPr>
  </w:style>
  <w:style w:type="table" w:styleId="Table32">
    <w:basedOn w:val="TableNormal"/>
    <w:tblPr>
      <w:tblStyleRowBandSize w:val="1"/>
      <w:tblStyleColBandSize w:val="1"/>
      <w:tblCellMar>
        <w:top w:w="57.0" w:type="dxa"/>
        <w:left w:w="115.0" w:type="dxa"/>
        <w:bottom w:w="57.0" w:type="dxa"/>
        <w:right w:w="115.0" w:type="dxa"/>
      </w:tblCellMar>
    </w:tblPr>
  </w:style>
  <w:style w:type="table" w:styleId="Table33">
    <w:basedOn w:val="TableNormal"/>
    <w:tblPr>
      <w:tblStyleRowBandSize w:val="1"/>
      <w:tblStyleColBandSize w:val="1"/>
      <w:tblCellMar>
        <w:top w:w="15.0" w:type="dxa"/>
        <w:left w:w="15.0" w:type="dxa"/>
        <w:bottom w:w="15.0" w:type="dxa"/>
        <w:right w:w="15.0" w:type="dxa"/>
      </w:tblCellMar>
    </w:tblPr>
  </w:style>
  <w:style w:type="table" w:styleId="Table34">
    <w:basedOn w:val="TableNormal"/>
    <w:tblPr>
      <w:tblStyleRowBandSize w:val="1"/>
      <w:tblStyleColBandSize w:val="1"/>
      <w:tblCellMar>
        <w:top w:w="15.0" w:type="dxa"/>
        <w:left w:w="15.0" w:type="dxa"/>
        <w:bottom w:w="15.0" w:type="dxa"/>
        <w:right w:w="15.0" w:type="dxa"/>
      </w:tblCellMar>
    </w:tblPr>
  </w:style>
  <w:style w:type="table" w:styleId="Table35">
    <w:basedOn w:val="TableNormal"/>
    <w:tblPr>
      <w:tblStyleRowBandSize w:val="1"/>
      <w:tblStyleColBandSize w:val="1"/>
      <w:tblCellMar>
        <w:top w:w="15.0" w:type="dxa"/>
        <w:left w:w="15.0" w:type="dxa"/>
        <w:bottom w:w="15.0" w:type="dxa"/>
        <w:right w:w="15.0" w:type="dxa"/>
      </w:tblCellMar>
    </w:tblPr>
  </w:style>
  <w:style w:type="table" w:styleId="Table36">
    <w:basedOn w:val="TableNormal"/>
    <w:tblPr>
      <w:tblStyleRowBandSize w:val="1"/>
      <w:tblStyleColBandSize w:val="1"/>
      <w:tblCellMar>
        <w:top w:w="15.0" w:type="dxa"/>
        <w:left w:w="15.0" w:type="dxa"/>
        <w:bottom w:w="15.0" w:type="dxa"/>
        <w:right w:w="15.0" w:type="dxa"/>
      </w:tblCellMar>
    </w:tblPr>
  </w:style>
  <w:style w:type="table" w:styleId="Table37">
    <w:basedOn w:val="TableNormal"/>
    <w:tblPr>
      <w:tblStyleRowBandSize w:val="1"/>
      <w:tblStyleColBandSize w:val="1"/>
      <w:tblCellMar>
        <w:top w:w="15.0" w:type="dxa"/>
        <w:left w:w="15.0" w:type="dxa"/>
        <w:bottom w:w="15.0" w:type="dxa"/>
        <w:right w:w="15.0" w:type="dxa"/>
      </w:tblCellMar>
    </w:tblPr>
  </w:style>
  <w:style w:type="table" w:styleId="Table38">
    <w:basedOn w:val="TableNormal"/>
    <w:tblPr>
      <w:tblStyleRowBandSize w:val="1"/>
      <w:tblStyleColBandSize w:val="1"/>
      <w:tblCellMar>
        <w:top w:w="15.0" w:type="dxa"/>
        <w:left w:w="15.0" w:type="dxa"/>
        <w:bottom w:w="15.0" w:type="dxa"/>
        <w:right w:w="15.0" w:type="dxa"/>
      </w:tblCellMar>
    </w:tblPr>
  </w:style>
  <w:style w:type="table" w:styleId="Table3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yperlink" Target="https://www.brookes.ac.uk/about-brookes/brand-guidelines/visual-identity/colours" TargetMode="Externa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footer" Target="footer4.xml"/><Relationship Id="rId14"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L8GLkhwS4UZN85po4dQwvEyqMg==">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2025-04-24T14:49:00Z</dcterms:created>
  <dc:creator>Ian Sears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0x010100BDB8B200BA181D44A7DF81589245F25B</vt:lpwstr>
  </property>
</Properties>
</file>