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5026" w14:textId="77777777" w:rsidR="00A47FAD" w:rsidRDefault="00A62F4A">
      <w:pPr>
        <w:jc w:val="center"/>
      </w:pPr>
      <w:r>
        <w:rPr>
          <w:b/>
          <w:sz w:val="32"/>
        </w:rPr>
        <w:t>Tender Addendum – Summary of Amendments</w:t>
      </w:r>
    </w:p>
    <w:p w14:paraId="36E9BAAA" w14:textId="77777777" w:rsidR="00A47FAD" w:rsidRDefault="00A62F4A">
      <w:r>
        <w:t>Project: Pre‑Qualification Area (PQ Area) – Scope of Work (NEC4 ECSC Option A)</w:t>
      </w:r>
    </w:p>
    <w:p w14:paraId="3FAAE513" w14:textId="77777777" w:rsidR="00A47FAD" w:rsidRDefault="00A62F4A">
      <w:r>
        <w:t>Addendum Purpose: To summarise amendments issued for tender clarification and scope alignment.</w:t>
      </w:r>
    </w:p>
    <w:p w14:paraId="44BEE1C5" w14:textId="77777777" w:rsidR="00A47FAD" w:rsidRDefault="00A62F4A">
      <w:pPr>
        <w:pStyle w:val="Heading2"/>
      </w:pPr>
      <w:r>
        <w:t>1. Instructions to Tenderers</w:t>
      </w:r>
    </w:p>
    <w:p w14:paraId="69E80E2B" w14:textId="77777777" w:rsidR="00A47FAD" w:rsidRDefault="00A62F4A">
      <w:r>
        <w:t>Tenderers shall incorporate the amendments in this Addendum into their tender returns, including programme, methodology, risk allowances, and Activity Schedule. Where the addendum changes the scope or performance requirements, tenderers shall price accordingly. Any qualifications or exclusions shall be clearly stated in the tender submission.</w:t>
      </w:r>
    </w:p>
    <w:p w14:paraId="06746C07" w14:textId="77777777" w:rsidR="00A47FAD" w:rsidRDefault="00A62F4A">
      <w:pPr>
        <w:pStyle w:val="Heading2"/>
      </w:pPr>
      <w:r>
        <w:t>2. Summary of Amendments</w:t>
      </w:r>
    </w:p>
    <w:p w14:paraId="3B610B4E" w14:textId="77777777" w:rsidR="00A47FAD" w:rsidRPr="00A62F4A" w:rsidRDefault="00A62F4A">
      <w:pPr>
        <w:pStyle w:val="ListNumber"/>
        <w:rPr>
          <w:b/>
          <w:bCs/>
        </w:rPr>
      </w:pPr>
      <w:r w:rsidRPr="00A62F4A">
        <w:rPr>
          <w:b/>
          <w:bCs/>
        </w:rPr>
        <w:t>Section 13 – Demountable Palisade Fencing (Expanded/Strengthened)</w:t>
      </w:r>
    </w:p>
    <w:p w14:paraId="14FB831C" w14:textId="77777777" w:rsidR="00A47FAD" w:rsidRPr="00A62F4A" w:rsidRDefault="00A62F4A">
      <w:pPr>
        <w:pStyle w:val="ListBullet"/>
        <w:rPr>
          <w:lang w:val="nl-NL"/>
        </w:rPr>
      </w:pPr>
      <w:r>
        <w:t xml:space="preserve">Expanded electrical safety compliance obligations (incl. </w:t>
      </w:r>
      <w:r w:rsidRPr="00A62F4A">
        <w:rPr>
          <w:lang w:val="nl-NL"/>
        </w:rPr>
        <w:t xml:space="preserve">BS EN IEC 61936 </w:t>
      </w:r>
      <w:proofErr w:type="spellStart"/>
      <w:r w:rsidRPr="00A62F4A">
        <w:rPr>
          <w:lang w:val="nl-NL"/>
        </w:rPr>
        <w:t>and</w:t>
      </w:r>
      <w:proofErr w:type="spellEnd"/>
      <w:r w:rsidRPr="00A62F4A">
        <w:rPr>
          <w:lang w:val="nl-NL"/>
        </w:rPr>
        <w:t xml:space="preserve"> BS EN 50274).</w:t>
      </w:r>
    </w:p>
    <w:p w14:paraId="0FE17F80" w14:textId="77777777" w:rsidR="00A47FAD" w:rsidRDefault="00A62F4A">
      <w:pPr>
        <w:pStyle w:val="ListBullet"/>
      </w:pPr>
      <w:r>
        <w:t>Enhanced security/buildability requirements (tool‑locked joints; not removable from outside).</w:t>
      </w:r>
    </w:p>
    <w:p w14:paraId="58E4F910" w14:textId="77777777" w:rsidR="00A47FAD" w:rsidRDefault="00A62F4A">
      <w:pPr>
        <w:pStyle w:val="ListBullet"/>
      </w:pPr>
      <w:r>
        <w:t>Added requirements for stability in all weather conditions.</w:t>
      </w:r>
    </w:p>
    <w:p w14:paraId="6333B10E" w14:textId="77777777" w:rsidR="00A47FAD" w:rsidRDefault="00A62F4A">
      <w:pPr>
        <w:pStyle w:val="ListBullet"/>
      </w:pPr>
      <w:r>
        <w:t>Clarified requirements for earthing/bonding where required and maintaining EMF/step‑potential clearances.</w:t>
      </w:r>
    </w:p>
    <w:p w14:paraId="511C428C" w14:textId="77777777" w:rsidR="00A47FAD" w:rsidRDefault="00A62F4A">
      <w:pPr>
        <w:pStyle w:val="ListBullet"/>
      </w:pPr>
      <w:r>
        <w:t>Confirmed inclusion of all testing, certification, and documentation within the Price.</w:t>
      </w:r>
    </w:p>
    <w:p w14:paraId="4431D43E" w14:textId="77777777" w:rsidR="00A47FAD" w:rsidRPr="00A62F4A" w:rsidRDefault="00A62F4A">
      <w:pPr>
        <w:pStyle w:val="ListNumber"/>
        <w:rPr>
          <w:b/>
          <w:bCs/>
        </w:rPr>
      </w:pPr>
      <w:r w:rsidRPr="00A62F4A">
        <w:rPr>
          <w:b/>
          <w:bCs/>
        </w:rPr>
        <w:t>Section 14 – ICT Fibre Optic Cabling (Clarified)</w:t>
      </w:r>
    </w:p>
    <w:p w14:paraId="46A83121" w14:textId="77777777" w:rsidR="00A47FAD" w:rsidRDefault="00A62F4A">
      <w:pPr>
        <w:pStyle w:val="ListBullet"/>
      </w:pPr>
      <w:r>
        <w:t>Clarified containment, penetrations, fire‑stopping, termination, labelling and protection requirements.</w:t>
      </w:r>
    </w:p>
    <w:p w14:paraId="3D719A54" w14:textId="77777777" w:rsidR="00A47FAD" w:rsidRDefault="00A62F4A">
      <w:pPr>
        <w:pStyle w:val="ListBullet"/>
      </w:pPr>
      <w:r>
        <w:t>Introduced/confirmed testing and certification requirements to ISO/IEC 11801 (or equivalent).</w:t>
      </w:r>
    </w:p>
    <w:p w14:paraId="4A3A4C1A" w14:textId="77777777" w:rsidR="00A47FAD" w:rsidRDefault="00A62F4A">
      <w:pPr>
        <w:pStyle w:val="ListBullet"/>
      </w:pPr>
      <w:r>
        <w:t>Commissioning to include demonstration of an operational end‑to‑end fibre link.</w:t>
      </w:r>
    </w:p>
    <w:p w14:paraId="39865524" w14:textId="77777777" w:rsidR="00A47FAD" w:rsidRPr="00A62F4A" w:rsidRDefault="00A62F4A">
      <w:pPr>
        <w:pStyle w:val="ListNumber"/>
        <w:rPr>
          <w:b/>
          <w:bCs/>
        </w:rPr>
      </w:pPr>
      <w:r w:rsidRPr="00A62F4A">
        <w:rPr>
          <w:b/>
          <w:bCs/>
        </w:rPr>
        <w:t>Section 15 – LV Power Cabling (Expanded)</w:t>
      </w:r>
    </w:p>
    <w:p w14:paraId="717D1BCB" w14:textId="77777777" w:rsidR="00A47FAD" w:rsidRDefault="00A62F4A">
      <w:pPr>
        <w:pStyle w:val="ListBullet"/>
      </w:pPr>
      <w:r>
        <w:t>Confirmed 415V three‑phase LV cabling scope including underground crossings and reinstatement.</w:t>
      </w:r>
    </w:p>
    <w:p w14:paraId="67A03327" w14:textId="77777777" w:rsidR="00A47FAD" w:rsidRDefault="00A62F4A">
      <w:pPr>
        <w:pStyle w:val="ListBullet"/>
      </w:pPr>
      <w:r>
        <w:t>Detailed ducting/protection/marker tape requirements and coordination with existing services.</w:t>
      </w:r>
    </w:p>
    <w:p w14:paraId="07D75B7A" w14:textId="77777777" w:rsidR="00A47FAD" w:rsidRDefault="00A62F4A">
      <w:pPr>
        <w:pStyle w:val="ListBullet"/>
      </w:pPr>
      <w:r>
        <w:t>Clarified testing scope (continuity, insulation resistance, phase rotation, functional testing).</w:t>
      </w:r>
    </w:p>
    <w:p w14:paraId="6BDD17E8" w14:textId="77777777" w:rsidR="00A47FAD" w:rsidRDefault="00A62F4A">
      <w:pPr>
        <w:pStyle w:val="ListBullet"/>
      </w:pPr>
      <w:r>
        <w:t>Works to be undertaken by authorised LV electrical personnel.</w:t>
      </w:r>
    </w:p>
    <w:p w14:paraId="1BEB0F27" w14:textId="77777777" w:rsidR="00A47FAD" w:rsidRDefault="00A62F4A">
      <w:pPr>
        <w:pStyle w:val="ListNumber"/>
      </w:pPr>
      <w:r>
        <w:t>Section 16 – Items Shown on Drawings (Risk Transfer Clarified)</w:t>
      </w:r>
    </w:p>
    <w:p w14:paraId="23B105FD" w14:textId="77777777" w:rsidR="00A47FAD" w:rsidRDefault="00A62F4A">
      <w:pPr>
        <w:pStyle w:val="ListBullet"/>
      </w:pPr>
      <w:r>
        <w:lastRenderedPageBreak/>
        <w:t>Strengthened requirement that all items shown or reasonably inferable from drawings are included.</w:t>
      </w:r>
    </w:p>
    <w:p w14:paraId="593F84F0" w14:textId="77777777" w:rsidR="00A47FAD" w:rsidRDefault="00A62F4A">
      <w:pPr>
        <w:pStyle w:val="ListBullet"/>
      </w:pPr>
      <w:r>
        <w:t>Clarified that omissions/lack of detail do not relieve the Contractor of responsibility.</w:t>
      </w:r>
    </w:p>
    <w:p w14:paraId="74DBD6B5" w14:textId="77777777" w:rsidR="00A47FAD" w:rsidRDefault="00A62F4A">
      <w:pPr>
        <w:pStyle w:val="ListBullet"/>
      </w:pPr>
      <w:r>
        <w:t>Clarified that no additional payment arises for items shown but not expressly listed.</w:t>
      </w:r>
    </w:p>
    <w:p w14:paraId="30C8D0B2" w14:textId="77777777" w:rsidR="00A47FAD" w:rsidRPr="00A62F4A" w:rsidRDefault="00A62F4A">
      <w:pPr>
        <w:pStyle w:val="ListNumber"/>
        <w:rPr>
          <w:b/>
          <w:bCs/>
        </w:rPr>
      </w:pPr>
      <w:r w:rsidRPr="00A62F4A">
        <w:rPr>
          <w:b/>
          <w:bCs/>
        </w:rPr>
        <w:t>Section 17 – Electrical Specification – Cable Prequalification Facility (Added)</w:t>
      </w:r>
    </w:p>
    <w:p w14:paraId="22FB08B8" w14:textId="77777777" w:rsidR="00A47FAD" w:rsidRDefault="00A62F4A">
      <w:pPr>
        <w:pStyle w:val="ListBullet"/>
      </w:pPr>
      <w:r>
        <w:t>Introduced detailed electrical installation requirements including a containerised packaged substation (11kV intake; Dyn11 transformer ≥1200A; minimum 10 outgoing LV circuits).</w:t>
      </w:r>
    </w:p>
    <w:p w14:paraId="138A3C56" w14:textId="77777777" w:rsidR="00A47FAD" w:rsidRPr="00A62F4A" w:rsidRDefault="00A62F4A">
      <w:pPr>
        <w:pStyle w:val="ListBullet"/>
        <w:rPr>
          <w:lang w:val="fr-FR"/>
        </w:rPr>
      </w:pPr>
      <w:r>
        <w:t xml:space="preserve">Added HV cabling scope (approx. </w:t>
      </w:r>
      <w:r w:rsidRPr="00A62F4A">
        <w:rPr>
          <w:lang w:val="fr-FR"/>
        </w:rPr>
        <w:t xml:space="preserve">150 m route; ≥185 mm² </w:t>
      </w:r>
      <w:proofErr w:type="spellStart"/>
      <w:r w:rsidRPr="00A62F4A">
        <w:rPr>
          <w:lang w:val="fr-FR"/>
        </w:rPr>
        <w:t>cable</w:t>
      </w:r>
      <w:proofErr w:type="spellEnd"/>
      <w:r w:rsidRPr="00A62F4A">
        <w:rPr>
          <w:lang w:val="fr-FR"/>
        </w:rPr>
        <w:t>; joints/</w:t>
      </w:r>
      <w:proofErr w:type="spellStart"/>
      <w:r w:rsidRPr="00A62F4A">
        <w:rPr>
          <w:lang w:val="fr-FR"/>
        </w:rPr>
        <w:t>terminations</w:t>
      </w:r>
      <w:proofErr w:type="spellEnd"/>
      <w:r w:rsidRPr="00A62F4A">
        <w:rPr>
          <w:lang w:val="fr-FR"/>
        </w:rPr>
        <w:t>).</w:t>
      </w:r>
    </w:p>
    <w:p w14:paraId="39395947" w14:textId="77777777" w:rsidR="00A47FAD" w:rsidRDefault="00A62F4A">
      <w:pPr>
        <w:pStyle w:val="ListBullet"/>
      </w:pPr>
      <w:r>
        <w:t>Confirmed HV/LV earthing integration (design prepared by others) and minimum 25 industrial power sockets.</w:t>
      </w:r>
    </w:p>
    <w:p w14:paraId="6822CECF" w14:textId="77777777" w:rsidR="00A47FAD" w:rsidRDefault="00A62F4A">
      <w:pPr>
        <w:pStyle w:val="ListBullet"/>
      </w:pPr>
      <w:r>
        <w:t>Added emergency lighting/safety requirements and full testing/commissioning/as‑builts.</w:t>
      </w:r>
    </w:p>
    <w:p w14:paraId="1A64C91F" w14:textId="77777777" w:rsidR="00A47FAD" w:rsidRDefault="00A62F4A">
      <w:pPr>
        <w:pStyle w:val="Heading2"/>
      </w:pPr>
      <w:r>
        <w:t>3. Tender Return Requirements</w:t>
      </w:r>
    </w:p>
    <w:p w14:paraId="27846FA6" w14:textId="77777777" w:rsidR="00A47FAD" w:rsidRDefault="00A62F4A">
      <w:r>
        <w:t>Tenderers shall confirm the following within their submission:</w:t>
      </w:r>
    </w:p>
    <w:p w14:paraId="1EBBEE6D" w14:textId="77777777" w:rsidR="00A47FAD" w:rsidRDefault="00A62F4A">
      <w:pPr>
        <w:pStyle w:val="ListBullet"/>
      </w:pPr>
      <w:r>
        <w:t>Acceptance of this Addendum and incorporation into the Scope of Work and Activity Schedule.</w:t>
      </w:r>
    </w:p>
    <w:p w14:paraId="2AB68B23" w14:textId="77777777" w:rsidR="00A47FAD" w:rsidRDefault="00A62F4A">
      <w:pPr>
        <w:pStyle w:val="ListBullet"/>
      </w:pPr>
      <w:r>
        <w:t>Any impact on programme, site logistics, temporary works, testing/commissioning resources, and interfaces.</w:t>
      </w:r>
    </w:p>
    <w:p w14:paraId="380498C1" w14:textId="77777777" w:rsidR="00A47FAD" w:rsidRDefault="00A62F4A">
      <w:pPr>
        <w:pStyle w:val="ListBullet"/>
      </w:pPr>
      <w:r>
        <w:t>Any proposed alternatives (where offered) and confirmation of full compliance with stated standards.</w:t>
      </w:r>
    </w:p>
    <w:p w14:paraId="2364F231" w14:textId="77777777" w:rsidR="00A47FAD" w:rsidRDefault="00A62F4A">
      <w:pPr>
        <w:pStyle w:val="ListBullet"/>
      </w:pPr>
      <w:r>
        <w:t>Confirmation that all testing, certification, as‑builts, and handover documentation are included.</w:t>
      </w:r>
    </w:p>
    <w:p w14:paraId="72ABFF9D" w14:textId="77777777" w:rsidR="00A47FAD" w:rsidRDefault="00A62F4A">
      <w:pPr>
        <w:pStyle w:val="Heading2"/>
      </w:pPr>
      <w:r>
        <w:t>4. Acknowledgement</w:t>
      </w:r>
    </w:p>
    <w:p w14:paraId="4B7A249E" w14:textId="77777777" w:rsidR="00A47FAD" w:rsidRDefault="00A62F4A">
      <w:r>
        <w:t>Tenderers shall acknowledge receipt of this Addendum in their tender submission and confirm that their offer includes all items described herein.</w:t>
      </w:r>
    </w:p>
    <w:sectPr w:rsidR="00A47F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0529768">
    <w:abstractNumId w:val="8"/>
  </w:num>
  <w:num w:numId="2" w16cid:durableId="1252542840">
    <w:abstractNumId w:val="6"/>
  </w:num>
  <w:num w:numId="3" w16cid:durableId="15348573">
    <w:abstractNumId w:val="5"/>
  </w:num>
  <w:num w:numId="4" w16cid:durableId="514613150">
    <w:abstractNumId w:val="4"/>
  </w:num>
  <w:num w:numId="5" w16cid:durableId="1748573092">
    <w:abstractNumId w:val="7"/>
  </w:num>
  <w:num w:numId="6" w16cid:durableId="1446345667">
    <w:abstractNumId w:val="3"/>
  </w:num>
  <w:num w:numId="7" w16cid:durableId="1112237958">
    <w:abstractNumId w:val="2"/>
  </w:num>
  <w:num w:numId="8" w16cid:durableId="1886482664">
    <w:abstractNumId w:val="1"/>
  </w:num>
  <w:num w:numId="9" w16cid:durableId="179675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09B2"/>
    <w:rsid w:val="00A47FAD"/>
    <w:rsid w:val="00A62F4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03CD4"/>
  <w14:defaultImageDpi w14:val="300"/>
  <w15:docId w15:val="{8B4895F1-7D5D-448B-9CCD-279B5E3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c9a6b00aa612ca136c9b2bb80bf01ff9">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0eca3e27ba924fd9164f30de3beb9de2"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94BB70C-67F4-409C-93FC-90496FD15BFF}"/>
</file>

<file path=customXml/itemProps3.xml><?xml version="1.0" encoding="utf-8"?>
<ds:datastoreItem xmlns:ds="http://schemas.openxmlformats.org/officeDocument/2006/customXml" ds:itemID="{0FAA0D34-A057-49EE-9627-4754CBE53424}"/>
</file>

<file path=customXml/itemProps4.xml><?xml version="1.0" encoding="utf-8"?>
<ds:datastoreItem xmlns:ds="http://schemas.openxmlformats.org/officeDocument/2006/customXml" ds:itemID="{3310A87D-450D-4848-A110-D585CB1B6FE0}"/>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python-docx;Ian McCullagh</dc:creator>
  <cp:keywords/>
  <dc:description>generated by python-docx</dc:description>
  <cp:lastModifiedBy>Ian McCullagh</cp:lastModifiedBy>
  <cp:revision>2</cp:revision>
  <dcterms:created xsi:type="dcterms:W3CDTF">2026-01-27T14:36:00Z</dcterms:created>
  <dcterms:modified xsi:type="dcterms:W3CDTF">2026-01-27T14:36:00Z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0x010100E44EDD450E61154E9CDC33039105EB40</vt:lpwstr>
  </property>
</Properties>
</file>