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394C1" w14:textId="2F493EBC" w:rsidR="004C5FF2" w:rsidRPr="00F71AC2" w:rsidRDefault="00F71AC2">
      <w:pPr>
        <w:rPr>
          <w:b/>
          <w:bCs/>
        </w:rPr>
      </w:pPr>
      <w:r w:rsidRPr="00F71AC2">
        <w:rPr>
          <w:b/>
          <w:bCs/>
        </w:rPr>
        <w:t>Little Chalfont Parish Council</w:t>
      </w:r>
    </w:p>
    <w:p w14:paraId="01173B14" w14:textId="77777777" w:rsidR="00F71AC2" w:rsidRDefault="00F71AC2"/>
    <w:p w14:paraId="49BF3716" w14:textId="195FC874" w:rsidR="00F71AC2" w:rsidRPr="00F71AC2" w:rsidRDefault="00F71AC2">
      <w:pPr>
        <w:rPr>
          <w:b/>
          <w:bCs/>
        </w:rPr>
      </w:pPr>
      <w:r w:rsidRPr="00F71AC2">
        <w:rPr>
          <w:b/>
          <w:bCs/>
        </w:rPr>
        <w:t>Architectural Design Services – Clarifications to Tender</w:t>
      </w:r>
      <w:r w:rsidR="00A76D49">
        <w:rPr>
          <w:b/>
          <w:bCs/>
        </w:rPr>
        <w:t>er</w:t>
      </w:r>
      <w:r w:rsidRPr="00F71AC2">
        <w:rPr>
          <w:b/>
          <w:bCs/>
        </w:rPr>
        <w:t>s Questions</w:t>
      </w:r>
      <w:r w:rsidR="00671BA3">
        <w:rPr>
          <w:b/>
          <w:bCs/>
        </w:rPr>
        <w:t xml:space="preserve"> (v2 updated 27/01/2026)</w:t>
      </w:r>
    </w:p>
    <w:p w14:paraId="6659419D" w14:textId="77777777" w:rsidR="00490A15" w:rsidRDefault="00490A15"/>
    <w:p w14:paraId="20B5C985" w14:textId="77777777" w:rsidR="00490A15" w:rsidRDefault="00490A15"/>
    <w:tbl>
      <w:tblPr>
        <w:tblStyle w:val="TableGrid"/>
        <w:tblW w:w="0" w:type="auto"/>
        <w:tblLook w:val="04A0" w:firstRow="1" w:lastRow="0" w:firstColumn="1" w:lastColumn="0" w:noHBand="0" w:noVBand="1"/>
      </w:tblPr>
      <w:tblGrid>
        <w:gridCol w:w="1838"/>
        <w:gridCol w:w="3827"/>
        <w:gridCol w:w="9639"/>
      </w:tblGrid>
      <w:tr w:rsidR="00F71AC2" w14:paraId="2CBAD035" w14:textId="77777777" w:rsidTr="006C4C23">
        <w:tc>
          <w:tcPr>
            <w:tcW w:w="1838" w:type="dxa"/>
            <w:shd w:val="clear" w:color="auto" w:fill="BFBFBF" w:themeFill="background1" w:themeFillShade="BF"/>
          </w:tcPr>
          <w:p w14:paraId="6740C6C2" w14:textId="77777777" w:rsidR="00F71AC2" w:rsidRPr="00F71AC2" w:rsidRDefault="00F71AC2" w:rsidP="00F71AC2">
            <w:pPr>
              <w:jc w:val="center"/>
              <w:rPr>
                <w:b/>
                <w:bCs/>
              </w:rPr>
            </w:pPr>
          </w:p>
          <w:p w14:paraId="4291A359" w14:textId="02007979" w:rsidR="00F71AC2" w:rsidRPr="00F71AC2" w:rsidRDefault="00F71AC2" w:rsidP="00F71AC2">
            <w:pPr>
              <w:jc w:val="center"/>
              <w:rPr>
                <w:b/>
                <w:bCs/>
              </w:rPr>
            </w:pPr>
            <w:r w:rsidRPr="00F71AC2">
              <w:rPr>
                <w:b/>
                <w:bCs/>
              </w:rPr>
              <w:t>Date of response</w:t>
            </w:r>
          </w:p>
        </w:tc>
        <w:tc>
          <w:tcPr>
            <w:tcW w:w="3827" w:type="dxa"/>
            <w:shd w:val="clear" w:color="auto" w:fill="BFBFBF" w:themeFill="background1" w:themeFillShade="BF"/>
          </w:tcPr>
          <w:p w14:paraId="557E4363" w14:textId="77777777" w:rsidR="00F71AC2" w:rsidRPr="00F71AC2" w:rsidRDefault="00F71AC2" w:rsidP="00F71AC2">
            <w:pPr>
              <w:jc w:val="center"/>
              <w:rPr>
                <w:b/>
                <w:bCs/>
              </w:rPr>
            </w:pPr>
          </w:p>
          <w:p w14:paraId="683470E9" w14:textId="3B15FC56" w:rsidR="00F71AC2" w:rsidRPr="00F71AC2" w:rsidRDefault="00F71AC2" w:rsidP="00F71AC2">
            <w:pPr>
              <w:jc w:val="center"/>
              <w:rPr>
                <w:b/>
                <w:bCs/>
              </w:rPr>
            </w:pPr>
            <w:r w:rsidRPr="00F71AC2">
              <w:rPr>
                <w:b/>
                <w:bCs/>
              </w:rPr>
              <w:t>Query</w:t>
            </w:r>
          </w:p>
        </w:tc>
        <w:tc>
          <w:tcPr>
            <w:tcW w:w="9639" w:type="dxa"/>
            <w:shd w:val="clear" w:color="auto" w:fill="BFBFBF" w:themeFill="background1" w:themeFillShade="BF"/>
          </w:tcPr>
          <w:p w14:paraId="64B3FFAB" w14:textId="77777777" w:rsidR="00F71AC2" w:rsidRPr="00F71AC2" w:rsidRDefault="00F71AC2" w:rsidP="00F71AC2">
            <w:pPr>
              <w:jc w:val="center"/>
              <w:rPr>
                <w:b/>
                <w:bCs/>
              </w:rPr>
            </w:pPr>
          </w:p>
          <w:p w14:paraId="69357BCC" w14:textId="77777777" w:rsidR="00F71AC2" w:rsidRPr="00F71AC2" w:rsidRDefault="00F71AC2" w:rsidP="00F71AC2">
            <w:pPr>
              <w:jc w:val="center"/>
              <w:rPr>
                <w:b/>
                <w:bCs/>
              </w:rPr>
            </w:pPr>
            <w:r w:rsidRPr="00F71AC2">
              <w:rPr>
                <w:b/>
                <w:bCs/>
              </w:rPr>
              <w:t>Response</w:t>
            </w:r>
          </w:p>
          <w:p w14:paraId="3EDC83D8" w14:textId="67EC0621" w:rsidR="00F71AC2" w:rsidRPr="00F71AC2" w:rsidRDefault="00F71AC2" w:rsidP="00F71AC2">
            <w:pPr>
              <w:jc w:val="center"/>
              <w:rPr>
                <w:b/>
                <w:bCs/>
              </w:rPr>
            </w:pPr>
          </w:p>
        </w:tc>
      </w:tr>
      <w:tr w:rsidR="00F71AC2" w14:paraId="172A6FA0" w14:textId="77777777" w:rsidTr="006C4C23">
        <w:tc>
          <w:tcPr>
            <w:tcW w:w="1838" w:type="dxa"/>
          </w:tcPr>
          <w:p w14:paraId="15D259D2" w14:textId="754326FC" w:rsidR="00F71AC2" w:rsidRDefault="00A76D49">
            <w:r>
              <w:t>14/01/2026</w:t>
            </w:r>
          </w:p>
        </w:tc>
        <w:tc>
          <w:tcPr>
            <w:tcW w:w="3827" w:type="dxa"/>
          </w:tcPr>
          <w:p w14:paraId="41CC9B97" w14:textId="0FC318DC" w:rsidR="00F71AC2" w:rsidRDefault="00F71AC2">
            <w:r>
              <w:t>The submission date on the Find a Tender portal says 5</w:t>
            </w:r>
            <w:r w:rsidRPr="00F71AC2">
              <w:rPr>
                <w:vertAlign w:val="superscript"/>
              </w:rPr>
              <w:t>th</w:t>
            </w:r>
            <w:r>
              <w:t xml:space="preserve"> February, but the tender documentation says 30</w:t>
            </w:r>
            <w:r w:rsidRPr="00F71AC2">
              <w:rPr>
                <w:vertAlign w:val="superscript"/>
              </w:rPr>
              <w:t>th</w:t>
            </w:r>
            <w:r>
              <w:t xml:space="preserve"> January.</w:t>
            </w:r>
          </w:p>
        </w:tc>
        <w:tc>
          <w:tcPr>
            <w:tcW w:w="9639" w:type="dxa"/>
          </w:tcPr>
          <w:p w14:paraId="32AD62F3" w14:textId="77777777" w:rsidR="00F71AC2" w:rsidRDefault="00F71AC2">
            <w:r>
              <w:t>When we uploaded the tender document onto the portal, the portal set the submission return date. We have updated the tender document to reflect this and issued Final v2 on Find a Tender on 08/01/2026</w:t>
            </w:r>
          </w:p>
          <w:p w14:paraId="6179C293" w14:textId="7244DAB8" w:rsidR="00F71AC2" w:rsidRDefault="00F71AC2"/>
        </w:tc>
      </w:tr>
      <w:tr w:rsidR="00F71AC2" w14:paraId="764392AE" w14:textId="77777777" w:rsidTr="006C4C23">
        <w:tc>
          <w:tcPr>
            <w:tcW w:w="1838" w:type="dxa"/>
          </w:tcPr>
          <w:p w14:paraId="52090805" w14:textId="010ECA0F" w:rsidR="00F71AC2" w:rsidRDefault="00A76D49">
            <w:r>
              <w:t>14/01/2026</w:t>
            </w:r>
          </w:p>
        </w:tc>
        <w:tc>
          <w:tcPr>
            <w:tcW w:w="3827" w:type="dxa"/>
          </w:tcPr>
          <w:p w14:paraId="3F8578D0" w14:textId="6D05DA37" w:rsidR="00F71AC2" w:rsidRDefault="000B2B82">
            <w:r>
              <w:t xml:space="preserve">Is </w:t>
            </w:r>
            <w:r w:rsidR="00F71AC2">
              <w:t xml:space="preserve">ARB </w:t>
            </w:r>
            <w:r>
              <w:t>Registration required?</w:t>
            </w:r>
          </w:p>
        </w:tc>
        <w:tc>
          <w:tcPr>
            <w:tcW w:w="9639" w:type="dxa"/>
          </w:tcPr>
          <w:p w14:paraId="3CCF69BD" w14:textId="21CB74C1" w:rsidR="00F71AC2" w:rsidRDefault="000B2B82">
            <w:r>
              <w:t>We recognise that ARB Registration applies to individuals and not companies. If your lead designer is ARB registered, please insert his/her name and registration number. If your lead designer is not ARB registered, please insert not registered in the return. It is not mandatory to be ARB registered</w:t>
            </w:r>
            <w:r w:rsidR="00E01986">
              <w:t xml:space="preserve"> or the company to be Chartered Architects.</w:t>
            </w:r>
          </w:p>
          <w:p w14:paraId="7E78AAF6" w14:textId="10E75D99" w:rsidR="000B2B82" w:rsidRDefault="000B2B82"/>
        </w:tc>
      </w:tr>
      <w:tr w:rsidR="00F71AC2" w14:paraId="4B7F59AB" w14:textId="77777777" w:rsidTr="006C4C23">
        <w:tc>
          <w:tcPr>
            <w:tcW w:w="1838" w:type="dxa"/>
          </w:tcPr>
          <w:p w14:paraId="195F0C08" w14:textId="2F6A5E71" w:rsidR="00F71AC2" w:rsidRDefault="00A76D49">
            <w:r>
              <w:t>14/01/2026</w:t>
            </w:r>
          </w:p>
        </w:tc>
        <w:tc>
          <w:tcPr>
            <w:tcW w:w="3827" w:type="dxa"/>
          </w:tcPr>
          <w:p w14:paraId="2F83EB2B" w14:textId="75063AD6" w:rsidR="00F71AC2" w:rsidRDefault="000B2B82">
            <w:r>
              <w:t>Is the Principal Designer role for CDM or Building Regs or both?</w:t>
            </w:r>
          </w:p>
          <w:p w14:paraId="6E5D5B41" w14:textId="1EB66015" w:rsidR="000B2B82" w:rsidRDefault="000B2B82"/>
        </w:tc>
        <w:tc>
          <w:tcPr>
            <w:tcW w:w="9639" w:type="dxa"/>
          </w:tcPr>
          <w:p w14:paraId="0E82D057" w14:textId="66490329" w:rsidR="00F71AC2" w:rsidRDefault="000B2B82">
            <w:r>
              <w:t>As this tender is focussing on the early stages of design, we only require the CDM role at this time.</w:t>
            </w:r>
          </w:p>
        </w:tc>
      </w:tr>
      <w:tr w:rsidR="00F71AC2" w14:paraId="79F5E5B3" w14:textId="77777777" w:rsidTr="006C4C23">
        <w:tc>
          <w:tcPr>
            <w:tcW w:w="1838" w:type="dxa"/>
          </w:tcPr>
          <w:p w14:paraId="6F9FDA92" w14:textId="1EB5E959" w:rsidR="00F71AC2" w:rsidRDefault="00A76D49">
            <w:r>
              <w:t>14/01/2026</w:t>
            </w:r>
          </w:p>
        </w:tc>
        <w:tc>
          <w:tcPr>
            <w:tcW w:w="3827" w:type="dxa"/>
          </w:tcPr>
          <w:p w14:paraId="629110FE" w14:textId="3CED15E9" w:rsidR="00F71AC2" w:rsidRDefault="000B2B82">
            <w:r>
              <w:t>What is the level of PI Insurance that is required?</w:t>
            </w:r>
          </w:p>
        </w:tc>
        <w:tc>
          <w:tcPr>
            <w:tcW w:w="9639" w:type="dxa"/>
          </w:tcPr>
          <w:p w14:paraId="5B449784" w14:textId="6D9DFAAC" w:rsidR="00F71AC2" w:rsidRDefault="000B2B82">
            <w:r>
              <w:t>We have not stated the minimum level of PI Insurance in the tender document as we are asking what level your company currently has. If during the evaluation period we identify that a compan</w:t>
            </w:r>
            <w:r w:rsidR="00BC7D78">
              <w:t>y’s</w:t>
            </w:r>
            <w:r>
              <w:t xml:space="preserve"> cover may be too low, we will discuss this with the company and if additional premiums are incurred, these will be added to your tender figure for scoring purposes.</w:t>
            </w:r>
          </w:p>
          <w:p w14:paraId="7245C726" w14:textId="45B1DA0F" w:rsidR="000B2B82" w:rsidRDefault="000B2B82"/>
        </w:tc>
      </w:tr>
      <w:tr w:rsidR="00F71AC2" w14:paraId="5D147176" w14:textId="77777777" w:rsidTr="006C4C23">
        <w:tc>
          <w:tcPr>
            <w:tcW w:w="1838" w:type="dxa"/>
          </w:tcPr>
          <w:p w14:paraId="02071532" w14:textId="77777777" w:rsidR="00F71AC2" w:rsidRPr="00934BCE" w:rsidRDefault="00A76D49">
            <w:pPr>
              <w:rPr>
                <w:strike/>
                <w:color w:val="EE0000"/>
              </w:rPr>
            </w:pPr>
            <w:r w:rsidRPr="00934BCE">
              <w:rPr>
                <w:strike/>
                <w:color w:val="EE0000"/>
              </w:rPr>
              <w:t>14/01/2026</w:t>
            </w:r>
          </w:p>
          <w:p w14:paraId="697A0F9E" w14:textId="3297FC96" w:rsidR="00934BCE" w:rsidRDefault="00934BCE">
            <w:r>
              <w:t>27/01/2026</w:t>
            </w:r>
          </w:p>
        </w:tc>
        <w:tc>
          <w:tcPr>
            <w:tcW w:w="3827" w:type="dxa"/>
          </w:tcPr>
          <w:p w14:paraId="20A9DC66" w14:textId="77777777" w:rsidR="00F71AC2" w:rsidRDefault="00E01986">
            <w:r>
              <w:t xml:space="preserve">What is the </w:t>
            </w:r>
            <w:r w:rsidRPr="00E01986">
              <w:t>budget construction cost for the New Pavilion Building excluding external works to the play areas, parking and paths and new mains services connections</w:t>
            </w:r>
            <w:r>
              <w:t xml:space="preserve">? </w:t>
            </w:r>
          </w:p>
          <w:p w14:paraId="0AB60987" w14:textId="4ED83563" w:rsidR="00E01986" w:rsidRDefault="00E01986"/>
        </w:tc>
        <w:tc>
          <w:tcPr>
            <w:tcW w:w="9639" w:type="dxa"/>
          </w:tcPr>
          <w:p w14:paraId="276ED290" w14:textId="77777777" w:rsidR="00F71AC2" w:rsidRPr="00934BCE" w:rsidRDefault="00E01986">
            <w:pPr>
              <w:rPr>
                <w:strike/>
                <w:color w:val="EE0000"/>
              </w:rPr>
            </w:pPr>
            <w:r w:rsidRPr="00934BCE">
              <w:rPr>
                <w:strike/>
                <w:color w:val="EE0000"/>
              </w:rPr>
              <w:t xml:space="preserve">The anticipated building cost of the Pavilion is thought to be £1m to £1.5m depending on the final brief. This is a </w:t>
            </w:r>
            <w:proofErr w:type="gramStart"/>
            <w:r w:rsidRPr="00934BCE">
              <w:rPr>
                <w:strike/>
                <w:color w:val="EE0000"/>
              </w:rPr>
              <w:t>broad brush</w:t>
            </w:r>
            <w:proofErr w:type="gramEnd"/>
            <w:r w:rsidRPr="00934BCE">
              <w:rPr>
                <w:strike/>
                <w:color w:val="EE0000"/>
              </w:rPr>
              <w:t xml:space="preserve"> guess at this stage.</w:t>
            </w:r>
          </w:p>
          <w:p w14:paraId="04982D74" w14:textId="4C8FE278" w:rsidR="00934BCE" w:rsidRDefault="00934BCE">
            <w:r>
              <w:t xml:space="preserve">To allow for </w:t>
            </w:r>
            <w:r w:rsidR="00C7795F">
              <w:t xml:space="preserve">the </w:t>
            </w:r>
            <w:r>
              <w:t xml:space="preserve">significant construction inflation since the data from Sports England was published, tenderers should base their fees on an assumed Pavilion only cost of £2.5m. </w:t>
            </w:r>
          </w:p>
        </w:tc>
      </w:tr>
      <w:tr w:rsidR="00F71AC2" w14:paraId="452707A8" w14:textId="77777777" w:rsidTr="006C4C23">
        <w:tc>
          <w:tcPr>
            <w:tcW w:w="1838" w:type="dxa"/>
          </w:tcPr>
          <w:p w14:paraId="7451B027" w14:textId="15861222" w:rsidR="00F71AC2" w:rsidRDefault="00A76D49">
            <w:r>
              <w:t>14/01/2026</w:t>
            </w:r>
          </w:p>
        </w:tc>
        <w:tc>
          <w:tcPr>
            <w:tcW w:w="3827" w:type="dxa"/>
          </w:tcPr>
          <w:p w14:paraId="7CDFC4C5" w14:textId="4CDFA847" w:rsidR="00F71AC2" w:rsidRDefault="00E01986">
            <w:r>
              <w:t>We are teaming up with a sub-consultant. Do you need their company background, insurance levels as well.</w:t>
            </w:r>
          </w:p>
        </w:tc>
        <w:tc>
          <w:tcPr>
            <w:tcW w:w="9639" w:type="dxa"/>
          </w:tcPr>
          <w:p w14:paraId="2F8CBC78" w14:textId="07A34DE1" w:rsidR="00F71AC2" w:rsidRDefault="002672D6">
            <w:r>
              <w:t>If you are planning to use a sub-consultant for this bid, the insurances and contract T&amp;C’s will be a domestic solution between the parties. The insurance details required in Part 1 should be those carried by the tenderer. Subcontractors should be identified as part of your Proposed Team.</w:t>
            </w:r>
          </w:p>
        </w:tc>
      </w:tr>
      <w:tr w:rsidR="00F71AC2" w14:paraId="38F8DC63" w14:textId="77777777" w:rsidTr="006C4C23">
        <w:tc>
          <w:tcPr>
            <w:tcW w:w="1838" w:type="dxa"/>
          </w:tcPr>
          <w:p w14:paraId="055D9D7D" w14:textId="5372554D" w:rsidR="00F71AC2" w:rsidRDefault="00A76D49">
            <w:r>
              <w:t>14/01/2026</w:t>
            </w:r>
          </w:p>
        </w:tc>
        <w:tc>
          <w:tcPr>
            <w:tcW w:w="3827" w:type="dxa"/>
          </w:tcPr>
          <w:p w14:paraId="736F75A3" w14:textId="56A2649D" w:rsidR="00F71AC2" w:rsidRDefault="002672D6">
            <w:r>
              <w:t>The playground and exercise areas are designed by others. Should we allow for coordinating the Architect services such as landscaping with them?</w:t>
            </w:r>
          </w:p>
        </w:tc>
        <w:tc>
          <w:tcPr>
            <w:tcW w:w="9639" w:type="dxa"/>
          </w:tcPr>
          <w:p w14:paraId="1600D505" w14:textId="14B66AB2" w:rsidR="00F71AC2" w:rsidRDefault="002672D6">
            <w:r>
              <w:t>No. We will not be tendering the playground and exercise area until</w:t>
            </w:r>
            <w:r w:rsidR="00A76D49">
              <w:t xml:space="preserve"> much</w:t>
            </w:r>
            <w:r>
              <w:t xml:space="preserve"> later </w:t>
            </w:r>
            <w:r w:rsidR="00A76D49">
              <w:t xml:space="preserve">so </w:t>
            </w:r>
            <w:r>
              <w:t xml:space="preserve">it would not be part of the planning </w:t>
            </w:r>
            <w:r w:rsidR="00A76D49">
              <w:t>submission at Stage 2+.</w:t>
            </w:r>
          </w:p>
        </w:tc>
      </w:tr>
      <w:tr w:rsidR="00F71AC2" w14:paraId="439EA8C8" w14:textId="77777777" w:rsidTr="006C4C23">
        <w:tc>
          <w:tcPr>
            <w:tcW w:w="1838" w:type="dxa"/>
          </w:tcPr>
          <w:p w14:paraId="3E2B84F4" w14:textId="2AE51B32" w:rsidR="00F71AC2" w:rsidRDefault="00934BCE">
            <w:r>
              <w:t>27/01/2026</w:t>
            </w:r>
          </w:p>
        </w:tc>
        <w:tc>
          <w:tcPr>
            <w:tcW w:w="3827" w:type="dxa"/>
          </w:tcPr>
          <w:p w14:paraId="269846F4" w14:textId="6D0C8553" w:rsidR="00F71AC2" w:rsidRDefault="00C7795F">
            <w:r>
              <w:t>Should we allow for soft landscaping in the tender?</w:t>
            </w:r>
          </w:p>
        </w:tc>
        <w:tc>
          <w:tcPr>
            <w:tcW w:w="9639" w:type="dxa"/>
          </w:tcPr>
          <w:p w14:paraId="72AE71E8" w14:textId="77777777" w:rsidR="00F71AC2" w:rsidRDefault="00934BCE">
            <w:r>
              <w:t>Tenderers are asked to only allow for hard landscaping design in the tender. Soft landscaping will be added as a variation to the contract once its scope is understood.</w:t>
            </w:r>
          </w:p>
          <w:p w14:paraId="3AE6CEF7" w14:textId="6F1AE133" w:rsidR="00934BCE" w:rsidRDefault="00934BCE"/>
        </w:tc>
      </w:tr>
      <w:tr w:rsidR="00F71AC2" w14:paraId="5FEB81C2" w14:textId="77777777" w:rsidTr="006C4C23">
        <w:tc>
          <w:tcPr>
            <w:tcW w:w="1838" w:type="dxa"/>
          </w:tcPr>
          <w:p w14:paraId="38BDCC56" w14:textId="0A7EC5D4" w:rsidR="00F71AC2" w:rsidRDefault="00934BCE">
            <w:r>
              <w:lastRenderedPageBreak/>
              <w:t>27/01/2026</w:t>
            </w:r>
          </w:p>
        </w:tc>
        <w:tc>
          <w:tcPr>
            <w:tcW w:w="3827" w:type="dxa"/>
          </w:tcPr>
          <w:p w14:paraId="78AE03AC" w14:textId="361EEA84" w:rsidR="00F71AC2" w:rsidRPr="00C7795F" w:rsidRDefault="00C7795F">
            <w:r>
              <w:t xml:space="preserve">What is the build-up of the Pavilion’s </w:t>
            </w:r>
            <w:r w:rsidR="00934BCE">
              <w:t>700 m</w:t>
            </w:r>
            <w:r w:rsidR="00934BCE" w:rsidRPr="00C7795F">
              <w:rPr>
                <w:vertAlign w:val="superscript"/>
              </w:rPr>
              <w:t>2</w:t>
            </w:r>
            <w:r>
              <w:t>?</w:t>
            </w:r>
          </w:p>
          <w:p w14:paraId="6454C440" w14:textId="101178B7" w:rsidR="00934BCE" w:rsidRDefault="00934BCE"/>
        </w:tc>
        <w:tc>
          <w:tcPr>
            <w:tcW w:w="9639" w:type="dxa"/>
          </w:tcPr>
          <w:p w14:paraId="21B7B17C" w14:textId="77777777" w:rsidR="00F71AC2" w:rsidRDefault="00934BCE">
            <w:r>
              <w:t>Changing rooms 140 m</w:t>
            </w:r>
            <w:r w:rsidRPr="00C7795F">
              <w:rPr>
                <w:vertAlign w:val="superscript"/>
              </w:rPr>
              <w:t>2</w:t>
            </w:r>
            <w:r>
              <w:t>, Football club storage 52 m</w:t>
            </w:r>
            <w:r w:rsidRPr="00C7795F">
              <w:rPr>
                <w:vertAlign w:val="superscript"/>
              </w:rPr>
              <w:t>2</w:t>
            </w:r>
            <w:r>
              <w:t>, Parish Council office and storage 90 m</w:t>
            </w:r>
            <w:r w:rsidRPr="00C7795F">
              <w:rPr>
                <w:vertAlign w:val="superscript"/>
              </w:rPr>
              <w:t>2</w:t>
            </w:r>
            <w:r>
              <w:t>, multi-purpose room (for hire) 110 m</w:t>
            </w:r>
            <w:r w:rsidRPr="00C7795F">
              <w:rPr>
                <w:vertAlign w:val="superscript"/>
              </w:rPr>
              <w:t>2</w:t>
            </w:r>
            <w:r>
              <w:t>, 2 meeting rooms (to hire) 100 m</w:t>
            </w:r>
            <w:r w:rsidRPr="00C7795F">
              <w:rPr>
                <w:vertAlign w:val="superscript"/>
              </w:rPr>
              <w:t>2</w:t>
            </w:r>
            <w:r>
              <w:t>, Café (</w:t>
            </w:r>
            <w:proofErr w:type="spellStart"/>
            <w:r>
              <w:t>excl</w:t>
            </w:r>
            <w:proofErr w:type="spellEnd"/>
            <w:r>
              <w:t xml:space="preserve"> patios) 131 m</w:t>
            </w:r>
            <w:r w:rsidRPr="00C7795F">
              <w:rPr>
                <w:vertAlign w:val="superscript"/>
              </w:rPr>
              <w:t>2</w:t>
            </w:r>
            <w:r>
              <w:t>, public toilets 53 m</w:t>
            </w:r>
            <w:r w:rsidRPr="00C7795F">
              <w:rPr>
                <w:vertAlign w:val="superscript"/>
              </w:rPr>
              <w:t>2</w:t>
            </w:r>
            <w:r>
              <w:t xml:space="preserve">, </w:t>
            </w:r>
            <w:r w:rsidR="00C7795F">
              <w:t>plant room and circulation 24 m</w:t>
            </w:r>
            <w:r w:rsidR="00C7795F" w:rsidRPr="00C7795F">
              <w:rPr>
                <w:vertAlign w:val="superscript"/>
              </w:rPr>
              <w:t>2</w:t>
            </w:r>
            <w:r w:rsidR="00C7795F">
              <w:t>. These are just working assumptions at this stage.</w:t>
            </w:r>
          </w:p>
          <w:p w14:paraId="22F9B041" w14:textId="08C990BA" w:rsidR="00C7795F" w:rsidRDefault="00C7795F"/>
        </w:tc>
      </w:tr>
      <w:tr w:rsidR="007045F7" w14:paraId="1D3603DD" w14:textId="77777777" w:rsidTr="006C4C23">
        <w:tc>
          <w:tcPr>
            <w:tcW w:w="1838" w:type="dxa"/>
          </w:tcPr>
          <w:p w14:paraId="751B9F4E" w14:textId="026EC05D" w:rsidR="007045F7" w:rsidRDefault="007045F7">
            <w:r>
              <w:t>2</w:t>
            </w:r>
            <w:r w:rsidR="00671BA3">
              <w:t>7</w:t>
            </w:r>
            <w:r>
              <w:t>/01/2026</w:t>
            </w:r>
          </w:p>
        </w:tc>
        <w:tc>
          <w:tcPr>
            <w:tcW w:w="3827" w:type="dxa"/>
          </w:tcPr>
          <w:p w14:paraId="3D3B3029" w14:textId="77777777" w:rsidR="007045F7" w:rsidRDefault="00671BA3">
            <w:r>
              <w:t>Should we include for any surveys or studies that may be needed for a planning application?</w:t>
            </w:r>
          </w:p>
          <w:p w14:paraId="3FBB56EA" w14:textId="53C94F18" w:rsidR="00671BA3" w:rsidRDefault="00671BA3"/>
        </w:tc>
        <w:tc>
          <w:tcPr>
            <w:tcW w:w="9639" w:type="dxa"/>
          </w:tcPr>
          <w:p w14:paraId="11023849" w14:textId="2F6364FC" w:rsidR="007045F7" w:rsidRDefault="00671BA3">
            <w:r>
              <w:t>Until we complete the pre-app, we cannot identify which surveys or studies will be required. In order to ensure that tenders are comparable, please do not include for any surveys or the management of them. These will be treated as a variation.</w:t>
            </w:r>
          </w:p>
        </w:tc>
      </w:tr>
      <w:tr w:rsidR="00671BA3" w14:paraId="424995EF" w14:textId="77777777" w:rsidTr="006C4C23">
        <w:tc>
          <w:tcPr>
            <w:tcW w:w="1838" w:type="dxa"/>
          </w:tcPr>
          <w:p w14:paraId="07D9D4FD" w14:textId="1D380BCF" w:rsidR="00671BA3" w:rsidRDefault="00671BA3">
            <w:r>
              <w:t>27/01/2026</w:t>
            </w:r>
          </w:p>
        </w:tc>
        <w:tc>
          <w:tcPr>
            <w:tcW w:w="3827" w:type="dxa"/>
          </w:tcPr>
          <w:p w14:paraId="7011CF16" w14:textId="77777777" w:rsidR="00671BA3" w:rsidRDefault="00671BA3">
            <w:r>
              <w:t>Should we include M&amp;E and structural engineers in our tender?</w:t>
            </w:r>
          </w:p>
          <w:p w14:paraId="4ACCA5F5" w14:textId="4C4EAB87" w:rsidR="00671BA3" w:rsidRDefault="00671BA3"/>
        </w:tc>
        <w:tc>
          <w:tcPr>
            <w:tcW w:w="9639" w:type="dxa"/>
          </w:tcPr>
          <w:p w14:paraId="20EA9162" w14:textId="77777777" w:rsidR="00671BA3" w:rsidRDefault="00671BA3">
            <w:r>
              <w:t>No. You are welcome to show your suggested sub-contractor people/organisations in your organisation chart as long as they are clearly identified (by colour or other means) that they are not part of your tendered cost.</w:t>
            </w:r>
          </w:p>
          <w:p w14:paraId="28077CC0" w14:textId="389A02FC" w:rsidR="00671BA3" w:rsidRDefault="00671BA3"/>
        </w:tc>
      </w:tr>
    </w:tbl>
    <w:p w14:paraId="0E641840" w14:textId="77777777" w:rsidR="006109E9" w:rsidRDefault="006109E9" w:rsidP="006C4C23"/>
    <w:sectPr w:rsidR="006109E9" w:rsidSect="006C4C23">
      <w:pgSz w:w="16838" w:h="11906" w:orient="landscape" w:code="9"/>
      <w:pgMar w:top="397" w:right="335" w:bottom="397" w:left="6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A15"/>
    <w:rsid w:val="000B2B82"/>
    <w:rsid w:val="002672D6"/>
    <w:rsid w:val="00490A15"/>
    <w:rsid w:val="004C5FF2"/>
    <w:rsid w:val="005B459D"/>
    <w:rsid w:val="005F2063"/>
    <w:rsid w:val="006109E9"/>
    <w:rsid w:val="006159D8"/>
    <w:rsid w:val="00630013"/>
    <w:rsid w:val="00663A52"/>
    <w:rsid w:val="00671BA3"/>
    <w:rsid w:val="006C4C23"/>
    <w:rsid w:val="007045F7"/>
    <w:rsid w:val="007956C0"/>
    <w:rsid w:val="00934BCE"/>
    <w:rsid w:val="00A76D49"/>
    <w:rsid w:val="00BC7D78"/>
    <w:rsid w:val="00C7795F"/>
    <w:rsid w:val="00C83662"/>
    <w:rsid w:val="00CB7EE5"/>
    <w:rsid w:val="00CD3EA8"/>
    <w:rsid w:val="00E01986"/>
    <w:rsid w:val="00EC7B41"/>
    <w:rsid w:val="00F71A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ED5DC"/>
  <w15:chartTrackingRefBased/>
  <w15:docId w15:val="{9E8AEEDC-3AD5-48FE-8BAC-3330B1D08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0A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90A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90A1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90A1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90A1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90A1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90A1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90A1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90A1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A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90A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90A1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90A1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90A1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90A1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90A1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90A1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90A1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90A1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0A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0A1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0A1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90A1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90A15"/>
    <w:rPr>
      <w:i/>
      <w:iCs/>
      <w:color w:val="404040" w:themeColor="text1" w:themeTint="BF"/>
    </w:rPr>
  </w:style>
  <w:style w:type="paragraph" w:styleId="ListParagraph">
    <w:name w:val="List Paragraph"/>
    <w:basedOn w:val="Normal"/>
    <w:uiPriority w:val="34"/>
    <w:qFormat/>
    <w:rsid w:val="00490A15"/>
    <w:pPr>
      <w:ind w:left="720"/>
      <w:contextualSpacing/>
    </w:pPr>
  </w:style>
  <w:style w:type="character" w:styleId="IntenseEmphasis">
    <w:name w:val="Intense Emphasis"/>
    <w:basedOn w:val="DefaultParagraphFont"/>
    <w:uiPriority w:val="21"/>
    <w:qFormat/>
    <w:rsid w:val="00490A15"/>
    <w:rPr>
      <w:i/>
      <w:iCs/>
      <w:color w:val="2F5496" w:themeColor="accent1" w:themeShade="BF"/>
    </w:rPr>
  </w:style>
  <w:style w:type="paragraph" w:styleId="IntenseQuote">
    <w:name w:val="Intense Quote"/>
    <w:basedOn w:val="Normal"/>
    <w:next w:val="Normal"/>
    <w:link w:val="IntenseQuoteChar"/>
    <w:uiPriority w:val="30"/>
    <w:qFormat/>
    <w:rsid w:val="00490A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90A15"/>
    <w:rPr>
      <w:i/>
      <w:iCs/>
      <w:color w:val="2F5496" w:themeColor="accent1" w:themeShade="BF"/>
    </w:rPr>
  </w:style>
  <w:style w:type="character" w:styleId="IntenseReference">
    <w:name w:val="Intense Reference"/>
    <w:basedOn w:val="DefaultParagraphFont"/>
    <w:uiPriority w:val="32"/>
    <w:qFormat/>
    <w:rsid w:val="00490A15"/>
    <w:rPr>
      <w:b/>
      <w:bCs/>
      <w:smallCaps/>
      <w:color w:val="2F5496" w:themeColor="accent1" w:themeShade="BF"/>
      <w:spacing w:val="5"/>
    </w:rPr>
  </w:style>
  <w:style w:type="table" w:styleId="TableGrid">
    <w:name w:val="Table Grid"/>
    <w:basedOn w:val="TableNormal"/>
    <w:uiPriority w:val="39"/>
    <w:rsid w:val="00F71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F9AD38BCA4334D860290968666943F" ma:contentTypeVersion="18" ma:contentTypeDescription="Create a new document." ma:contentTypeScope="" ma:versionID="ea673ed49e7f6339b14d9acad98fc427">
  <xsd:schema xmlns:xsd="http://www.w3.org/2001/XMLSchema" xmlns:xs="http://www.w3.org/2001/XMLSchema" xmlns:p="http://schemas.microsoft.com/office/2006/metadata/properties" xmlns:ns2="157b12ab-137d-47c5-b2dc-1fa62cd70082" xmlns:ns3="0d258d4c-4be0-4e29-aec0-e1b304268795" targetNamespace="http://schemas.microsoft.com/office/2006/metadata/properties" ma:root="true" ma:fieldsID="69c59de5249548dd54f7a55dacd79e57" ns2:_="" ns3:_="">
    <xsd:import namespace="157b12ab-137d-47c5-b2dc-1fa62cd70082"/>
    <xsd:import namespace="0d258d4c-4be0-4e29-aec0-e1b3042687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7b12ab-137d-47c5-b2dc-1fa62cd700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920e09d-7585-40a6-bbe5-3feb5032e3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258d4c-4be0-4e29-aec0-e1b30426879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31aa0ab-1d5d-438f-abc0-ace01582d972}" ma:internalName="TaxCatchAll" ma:showField="CatchAllData" ma:web="0d258d4c-4be0-4e29-aec0-e1b3042687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7b12ab-137d-47c5-b2dc-1fa62cd70082">
      <Terms xmlns="http://schemas.microsoft.com/office/infopath/2007/PartnerControls"/>
    </lcf76f155ced4ddcb4097134ff3c332f>
    <TaxCatchAll xmlns="0d258d4c-4be0-4e29-aec0-e1b304268795" xsi:nil="true"/>
  </documentManagement>
</p:properties>
</file>

<file path=customXml/itemProps1.xml><?xml version="1.0" encoding="utf-8"?>
<ds:datastoreItem xmlns:ds="http://schemas.openxmlformats.org/officeDocument/2006/customXml" ds:itemID="{3169B94E-A60D-4E28-A29F-D4FDDED626A1}"/>
</file>

<file path=customXml/itemProps2.xml><?xml version="1.0" encoding="utf-8"?>
<ds:datastoreItem xmlns:ds="http://schemas.openxmlformats.org/officeDocument/2006/customXml" ds:itemID="{36EF9000-E99A-4AEF-B5A6-41BE9460AB79}"/>
</file>

<file path=customXml/itemProps3.xml><?xml version="1.0" encoding="utf-8"?>
<ds:datastoreItem xmlns:ds="http://schemas.openxmlformats.org/officeDocument/2006/customXml" ds:itemID="{2A2A16AC-820E-42BB-A2AE-26F3A07A582C}"/>
</file>

<file path=docProps/app.xml><?xml version="1.0" encoding="utf-8"?>
<Properties xmlns="http://schemas.openxmlformats.org/officeDocument/2006/extended-properties" xmlns:vt="http://schemas.openxmlformats.org/officeDocument/2006/docPropsVTypes">
  <Template>Normal</Template>
  <TotalTime>124</TotalTime>
  <Pages>2</Pages>
  <Words>588</Words>
  <Characters>3356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O'Connor</dc:creator>
  <cp:keywords/>
  <dc:description/>
  <cp:lastModifiedBy>Peter O'Connor</cp:lastModifiedBy>
  <cp:revision>3</cp:revision>
  <cp:lastPrinted>2026-01-15T10:40:00Z</cp:lastPrinted>
  <dcterms:created xsi:type="dcterms:W3CDTF">2026-01-21T21:11:00Z</dcterms:created>
  <dcterms:modified xsi:type="dcterms:W3CDTF">2026-01-26T21:55:00Z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0x01010052F9AD38BCA4334D860290968666943F</vt:lpwstr>
  </property>
</Properties>
</file>