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71179" w14:textId="77777777" w:rsidR="00022A1C" w:rsidRPr="00D553A8" w:rsidRDefault="005E3BAC" w:rsidP="00311E27">
      <w:pPr>
        <w:pStyle w:val="BodyText"/>
        <w:spacing w:line="276" w:lineRule="auto"/>
        <w:rPr>
          <w:rFonts w:ascii="Times New Roman"/>
          <w:sz w:val="20"/>
        </w:rPr>
      </w:pPr>
      <w:r w:rsidRPr="007648E6">
        <w:rPr>
          <w:noProof/>
          <w:lang w:eastAsia="en-GB"/>
        </w:rPr>
        <w:drawing>
          <wp:anchor distT="0" distB="0" distL="114300" distR="114300" simplePos="0" relativeHeight="251661312" behindDoc="1" locked="0" layoutInCell="1" allowOverlap="1" wp14:anchorId="77169346" wp14:editId="381CE1EF">
            <wp:simplePos x="0" y="0"/>
            <wp:positionH relativeFrom="margin">
              <wp:align>right</wp:align>
            </wp:positionH>
            <wp:positionV relativeFrom="paragraph">
              <wp:posOffset>-182245</wp:posOffset>
            </wp:positionV>
            <wp:extent cx="2308654" cy="11239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QIP Updated.jpg"/>
                    <pic:cNvPicPr/>
                  </pic:nvPicPr>
                  <pic:blipFill rotWithShape="1">
                    <a:blip r:embed="rId8" cstate="print">
                      <a:extLst>
                        <a:ext uri="{28A0092B-C50C-407E-A947-70E740481C1C}">
                          <a14:useLocalDpi xmlns:a14="http://schemas.microsoft.com/office/drawing/2010/main" val="0"/>
                        </a:ext>
                      </a:extLst>
                    </a:blip>
                    <a:srcRect r="14883" b="54125"/>
                    <a:stretch/>
                  </pic:blipFill>
                  <pic:spPr bwMode="auto">
                    <a:xfrm>
                      <a:off x="0" y="0"/>
                      <a:ext cx="2308654" cy="112395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dtfl="http://schemas.microsoft.com/office/word/2024/wordml/sdtformatlock"/>
                      </a:ext>
                    </a:extLst>
                  </pic:spPr>
                </pic:pic>
              </a:graphicData>
            </a:graphic>
            <wp14:sizeRelH relativeFrom="page">
              <wp14:pctWidth>0</wp14:pctWidth>
            </wp14:sizeRelH>
            <wp14:sizeRelV relativeFrom="page">
              <wp14:pctHeight>0</wp14:pctHeight>
            </wp14:sizeRelV>
          </wp:anchor>
        </w:drawing>
      </w:r>
    </w:p>
    <w:p w14:paraId="13D62AD2" w14:textId="77777777" w:rsidR="00022A1C" w:rsidRPr="00D553A8" w:rsidRDefault="00022A1C" w:rsidP="00311E27">
      <w:pPr>
        <w:pStyle w:val="BodyText"/>
        <w:spacing w:line="276" w:lineRule="auto"/>
        <w:rPr>
          <w:rFonts w:ascii="Times New Roman"/>
          <w:sz w:val="20"/>
        </w:rPr>
      </w:pPr>
    </w:p>
    <w:p w14:paraId="1A35884B" w14:textId="77777777" w:rsidR="00022A1C" w:rsidRPr="00D553A8" w:rsidRDefault="00022A1C" w:rsidP="00311E27">
      <w:pPr>
        <w:pStyle w:val="BodyText"/>
        <w:spacing w:line="276" w:lineRule="auto"/>
        <w:rPr>
          <w:rFonts w:ascii="Times New Roman"/>
          <w:sz w:val="20"/>
        </w:rPr>
      </w:pPr>
    </w:p>
    <w:p w14:paraId="12BA5C19" w14:textId="77777777" w:rsidR="00022A1C" w:rsidRPr="00D553A8" w:rsidRDefault="00022A1C" w:rsidP="00311E27">
      <w:pPr>
        <w:pStyle w:val="BodyText"/>
        <w:spacing w:line="276" w:lineRule="auto"/>
        <w:rPr>
          <w:rFonts w:ascii="Times New Roman"/>
          <w:sz w:val="20"/>
        </w:rPr>
      </w:pPr>
    </w:p>
    <w:p w14:paraId="126BDD10" w14:textId="77777777" w:rsidR="00022A1C" w:rsidRPr="00D553A8" w:rsidRDefault="00022A1C" w:rsidP="00311E27">
      <w:pPr>
        <w:pStyle w:val="BodyText"/>
        <w:spacing w:line="276" w:lineRule="auto"/>
        <w:rPr>
          <w:rFonts w:ascii="Times New Roman"/>
          <w:sz w:val="20"/>
        </w:rPr>
      </w:pPr>
    </w:p>
    <w:p w14:paraId="4F0C6835" w14:textId="77777777" w:rsidR="00022A1C" w:rsidRPr="00D553A8" w:rsidRDefault="00022A1C" w:rsidP="00311E27">
      <w:pPr>
        <w:pStyle w:val="BodyText"/>
        <w:spacing w:line="276" w:lineRule="auto"/>
        <w:rPr>
          <w:rFonts w:ascii="Times New Roman"/>
          <w:sz w:val="20"/>
        </w:rPr>
      </w:pPr>
    </w:p>
    <w:p w14:paraId="2A069857" w14:textId="77777777" w:rsidR="00022A1C" w:rsidRPr="00D553A8" w:rsidRDefault="00022A1C" w:rsidP="00311E27">
      <w:pPr>
        <w:pStyle w:val="BodyText"/>
        <w:spacing w:line="276" w:lineRule="auto"/>
        <w:rPr>
          <w:rFonts w:ascii="Times New Roman"/>
          <w:sz w:val="20"/>
        </w:rPr>
      </w:pPr>
    </w:p>
    <w:p w14:paraId="5A0F0856" w14:textId="77777777" w:rsidR="00022A1C" w:rsidRPr="00D553A8" w:rsidRDefault="00022A1C" w:rsidP="00311E27">
      <w:pPr>
        <w:pStyle w:val="BodyText"/>
        <w:spacing w:line="276" w:lineRule="auto"/>
        <w:rPr>
          <w:rFonts w:ascii="Times New Roman"/>
          <w:sz w:val="20"/>
        </w:rPr>
      </w:pPr>
    </w:p>
    <w:p w14:paraId="0DBFB711" w14:textId="77777777" w:rsidR="001D5130" w:rsidRPr="00D553A8" w:rsidRDefault="001D5130" w:rsidP="001D5130">
      <w:pPr>
        <w:spacing w:line="276" w:lineRule="auto"/>
        <w:rPr>
          <w:rFonts w:cstheme="minorHAnsi"/>
          <w:b/>
          <w:bCs/>
          <w:sz w:val="24"/>
          <w:szCs w:val="24"/>
        </w:rPr>
      </w:pPr>
    </w:p>
    <w:p w14:paraId="0EDEC944" w14:textId="77777777" w:rsidR="00022A1C" w:rsidRPr="00D553A8" w:rsidRDefault="00022A1C" w:rsidP="00311E27">
      <w:pPr>
        <w:pStyle w:val="BodyText"/>
        <w:spacing w:line="276" w:lineRule="auto"/>
        <w:rPr>
          <w:rFonts w:ascii="Times New Roman"/>
          <w:sz w:val="20"/>
        </w:rPr>
      </w:pPr>
    </w:p>
    <w:p w14:paraId="13DBF120" w14:textId="77777777" w:rsidR="00022A1C" w:rsidRPr="00D553A8" w:rsidRDefault="00022A1C" w:rsidP="00311E27">
      <w:pPr>
        <w:pStyle w:val="BodyText"/>
        <w:spacing w:line="276" w:lineRule="auto"/>
        <w:rPr>
          <w:rFonts w:ascii="Times New Roman"/>
          <w:sz w:val="20"/>
        </w:rPr>
      </w:pPr>
    </w:p>
    <w:p w14:paraId="77BE0DAC" w14:textId="77777777" w:rsidR="00022A1C" w:rsidRPr="00D553A8" w:rsidRDefault="00022A1C" w:rsidP="00311E27">
      <w:pPr>
        <w:pStyle w:val="BodyText"/>
        <w:spacing w:line="276" w:lineRule="auto"/>
        <w:rPr>
          <w:rFonts w:ascii="Times New Roman"/>
          <w:sz w:val="20"/>
        </w:rPr>
      </w:pPr>
    </w:p>
    <w:p w14:paraId="511F7067" w14:textId="77777777" w:rsidR="00022A1C" w:rsidRPr="00D553A8" w:rsidRDefault="00022A1C" w:rsidP="00311E27">
      <w:pPr>
        <w:pStyle w:val="BodyText"/>
        <w:spacing w:line="276" w:lineRule="auto"/>
        <w:rPr>
          <w:rFonts w:ascii="Times New Roman"/>
          <w:sz w:val="20"/>
        </w:rPr>
      </w:pPr>
    </w:p>
    <w:p w14:paraId="3E27EF11" w14:textId="77777777" w:rsidR="00022A1C" w:rsidRPr="00D553A8" w:rsidRDefault="00022A1C" w:rsidP="00311E27">
      <w:pPr>
        <w:pStyle w:val="BodyText"/>
        <w:spacing w:line="276" w:lineRule="auto"/>
        <w:rPr>
          <w:rFonts w:ascii="Times New Roman"/>
          <w:sz w:val="20"/>
        </w:rPr>
      </w:pPr>
    </w:p>
    <w:p w14:paraId="1D0B3C3D" w14:textId="77777777" w:rsidR="00022A1C" w:rsidRPr="00D553A8" w:rsidRDefault="00022A1C" w:rsidP="00311E27">
      <w:pPr>
        <w:pStyle w:val="BodyText"/>
        <w:spacing w:line="276" w:lineRule="auto"/>
        <w:rPr>
          <w:rFonts w:ascii="Times New Roman"/>
          <w:sz w:val="20"/>
        </w:rPr>
      </w:pPr>
    </w:p>
    <w:p w14:paraId="5312BA90" w14:textId="77777777" w:rsidR="00022A1C" w:rsidRPr="00D553A8" w:rsidRDefault="00022A1C" w:rsidP="00311E27">
      <w:pPr>
        <w:pStyle w:val="BodyText"/>
        <w:spacing w:before="1" w:line="276" w:lineRule="auto"/>
        <w:rPr>
          <w:rFonts w:ascii="Times New Roman"/>
          <w:sz w:val="20"/>
        </w:rPr>
      </w:pPr>
    </w:p>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773"/>
      </w:tblGrid>
      <w:tr w:rsidR="00022A1C" w:rsidRPr="00D553A8" w14:paraId="680DF165" w14:textId="77777777" w:rsidTr="009D6CD0">
        <w:trPr>
          <w:trHeight w:hRule="exact" w:val="2216"/>
        </w:trPr>
        <w:tc>
          <w:tcPr>
            <w:tcW w:w="6773" w:type="dxa"/>
          </w:tcPr>
          <w:p w14:paraId="108C0E51" w14:textId="128029A5" w:rsidR="00022A1C" w:rsidRPr="00D553A8" w:rsidRDefault="009D6CD0" w:rsidP="00311E27">
            <w:pPr>
              <w:pStyle w:val="TableParagraph"/>
              <w:spacing w:line="276" w:lineRule="auto"/>
              <w:ind w:left="0" w:right="183"/>
              <w:rPr>
                <w:rFonts w:asciiTheme="minorHAnsi" w:hAnsiTheme="minorHAnsi" w:cstheme="minorHAnsi"/>
                <w:b/>
                <w:sz w:val="52"/>
              </w:rPr>
            </w:pPr>
            <w:bookmarkStart w:id="0" w:name="_Hlk213332862"/>
            <w:r w:rsidRPr="009D6CD0">
              <w:rPr>
                <w:rFonts w:asciiTheme="minorHAnsi" w:hAnsiTheme="minorHAnsi" w:cstheme="minorHAnsi"/>
                <w:b/>
                <w:color w:val="4F81BD"/>
                <w:sz w:val="52"/>
              </w:rPr>
              <w:t xml:space="preserve">The National Clinical Audit </w:t>
            </w:r>
            <w:r>
              <w:rPr>
                <w:rFonts w:asciiTheme="minorHAnsi" w:hAnsiTheme="minorHAnsi" w:cstheme="minorHAnsi"/>
                <w:b/>
                <w:color w:val="4F81BD"/>
                <w:sz w:val="52"/>
              </w:rPr>
              <w:t>o</w:t>
            </w:r>
            <w:r w:rsidRPr="009D6CD0">
              <w:rPr>
                <w:rFonts w:asciiTheme="minorHAnsi" w:hAnsiTheme="minorHAnsi" w:cstheme="minorHAnsi"/>
                <w:b/>
                <w:color w:val="4F81BD"/>
                <w:sz w:val="52"/>
              </w:rPr>
              <w:t xml:space="preserve">f Seizures </w:t>
            </w:r>
            <w:r>
              <w:rPr>
                <w:rFonts w:asciiTheme="minorHAnsi" w:hAnsiTheme="minorHAnsi" w:cstheme="minorHAnsi"/>
                <w:b/>
                <w:color w:val="4F81BD"/>
                <w:sz w:val="52"/>
              </w:rPr>
              <w:t>a</w:t>
            </w:r>
            <w:r w:rsidRPr="009D6CD0">
              <w:rPr>
                <w:rFonts w:asciiTheme="minorHAnsi" w:hAnsiTheme="minorHAnsi" w:cstheme="minorHAnsi"/>
                <w:b/>
                <w:color w:val="4F81BD"/>
                <w:sz w:val="52"/>
              </w:rPr>
              <w:t xml:space="preserve">nd Epilepsies </w:t>
            </w:r>
            <w:r>
              <w:rPr>
                <w:rFonts w:asciiTheme="minorHAnsi" w:hAnsiTheme="minorHAnsi" w:cstheme="minorHAnsi"/>
                <w:b/>
                <w:color w:val="4F81BD"/>
                <w:sz w:val="52"/>
              </w:rPr>
              <w:t>i</w:t>
            </w:r>
            <w:r w:rsidRPr="009D6CD0">
              <w:rPr>
                <w:rFonts w:asciiTheme="minorHAnsi" w:hAnsiTheme="minorHAnsi" w:cstheme="minorHAnsi"/>
                <w:b/>
                <w:color w:val="4F81BD"/>
                <w:sz w:val="52"/>
              </w:rPr>
              <w:t xml:space="preserve">n Children </w:t>
            </w:r>
            <w:r>
              <w:rPr>
                <w:rFonts w:asciiTheme="minorHAnsi" w:hAnsiTheme="minorHAnsi" w:cstheme="minorHAnsi"/>
                <w:b/>
                <w:color w:val="4F81BD"/>
                <w:sz w:val="52"/>
              </w:rPr>
              <w:t>a</w:t>
            </w:r>
            <w:r w:rsidRPr="009D6CD0">
              <w:rPr>
                <w:rFonts w:asciiTheme="minorHAnsi" w:hAnsiTheme="minorHAnsi" w:cstheme="minorHAnsi"/>
                <w:b/>
                <w:color w:val="4F81BD"/>
                <w:sz w:val="52"/>
              </w:rPr>
              <w:t>nd Young People</w:t>
            </w:r>
            <w:bookmarkEnd w:id="0"/>
          </w:p>
        </w:tc>
      </w:tr>
      <w:tr w:rsidR="00022A1C" w:rsidRPr="00D553A8" w14:paraId="6C83EAAF" w14:textId="77777777" w:rsidTr="005E3BAC">
        <w:trPr>
          <w:trHeight w:hRule="exact" w:val="576"/>
        </w:trPr>
        <w:tc>
          <w:tcPr>
            <w:tcW w:w="6773" w:type="dxa"/>
          </w:tcPr>
          <w:p w14:paraId="79F2A3D4" w14:textId="77777777" w:rsidR="00022A1C" w:rsidRPr="00D553A8" w:rsidRDefault="00022A1C" w:rsidP="00311E27">
            <w:pPr>
              <w:pStyle w:val="TableParagraph"/>
              <w:spacing w:before="154" w:line="276" w:lineRule="auto"/>
              <w:ind w:left="115"/>
              <w:rPr>
                <w:rFonts w:asciiTheme="minorHAnsi" w:hAnsiTheme="minorHAnsi" w:cstheme="minorHAnsi"/>
                <w:b/>
                <w:sz w:val="36"/>
              </w:rPr>
            </w:pPr>
            <w:r w:rsidRPr="00D553A8">
              <w:rPr>
                <w:rFonts w:asciiTheme="minorHAnsi" w:eastAsiaTheme="minorHAnsi" w:hAnsiTheme="minorHAnsi" w:cstheme="minorBidi"/>
                <w:b/>
                <w:color w:val="102564"/>
                <w:sz w:val="36"/>
                <w:szCs w:val="28"/>
              </w:rPr>
              <w:t>S</w:t>
            </w:r>
            <w:r w:rsidR="005E3BAC" w:rsidRPr="00D553A8">
              <w:rPr>
                <w:rFonts w:asciiTheme="minorHAnsi" w:eastAsiaTheme="minorHAnsi" w:hAnsiTheme="minorHAnsi" w:cstheme="minorBidi"/>
                <w:b/>
                <w:color w:val="102564"/>
                <w:sz w:val="36"/>
                <w:szCs w:val="28"/>
              </w:rPr>
              <w:t>pecification</w:t>
            </w:r>
          </w:p>
        </w:tc>
      </w:tr>
    </w:tbl>
    <w:p w14:paraId="1BCF205B" w14:textId="77777777" w:rsidR="00022A1C" w:rsidRPr="00D553A8" w:rsidRDefault="00022A1C" w:rsidP="00311E27">
      <w:pPr>
        <w:pStyle w:val="BodyText"/>
        <w:spacing w:line="276" w:lineRule="auto"/>
        <w:rPr>
          <w:rFonts w:ascii="Times New Roman"/>
          <w:sz w:val="20"/>
        </w:rPr>
      </w:pPr>
    </w:p>
    <w:p w14:paraId="7419025F" w14:textId="77777777" w:rsidR="00022A1C" w:rsidRPr="00D553A8" w:rsidRDefault="00022A1C" w:rsidP="00311E27">
      <w:pPr>
        <w:pStyle w:val="BodyText"/>
        <w:spacing w:line="276" w:lineRule="auto"/>
        <w:rPr>
          <w:rFonts w:ascii="Times New Roman"/>
          <w:sz w:val="20"/>
        </w:rPr>
      </w:pPr>
    </w:p>
    <w:p w14:paraId="04B49A93" w14:textId="77777777" w:rsidR="00022A1C" w:rsidRPr="00D553A8" w:rsidRDefault="00022A1C" w:rsidP="00311E27">
      <w:pPr>
        <w:pStyle w:val="BodyText"/>
        <w:spacing w:line="276" w:lineRule="auto"/>
        <w:rPr>
          <w:rFonts w:ascii="Times New Roman"/>
          <w:sz w:val="20"/>
        </w:rPr>
      </w:pPr>
    </w:p>
    <w:p w14:paraId="0C8DBDEA" w14:textId="6A7390DF" w:rsidR="00022A1C" w:rsidRPr="00002C9F" w:rsidRDefault="00022A1C" w:rsidP="00002C9F">
      <w:pPr>
        <w:tabs>
          <w:tab w:val="left" w:pos="2855"/>
        </w:tabs>
        <w:spacing w:before="161" w:line="276" w:lineRule="auto"/>
        <w:rPr>
          <w:sz w:val="32"/>
        </w:rPr>
        <w:sectPr w:rsidR="00022A1C" w:rsidRPr="00002C9F" w:rsidSect="000F17B5">
          <w:footerReference w:type="default" r:id="rId9"/>
          <w:pgSz w:w="11906" w:h="16838"/>
          <w:pgMar w:top="1440" w:right="1080" w:bottom="1440" w:left="1080" w:header="708" w:footer="567" w:gutter="0"/>
          <w:cols w:space="708"/>
          <w:docGrid w:linePitch="360"/>
        </w:sectPr>
      </w:pPr>
      <w:r w:rsidRPr="00D553A8">
        <w:rPr>
          <w:b/>
          <w:color w:val="4F81BD"/>
          <w:sz w:val="36"/>
        </w:rPr>
        <w:t>Internal</w:t>
      </w:r>
      <w:r w:rsidRPr="00D553A8">
        <w:rPr>
          <w:b/>
          <w:color w:val="4F81BD"/>
          <w:spacing w:val="-1"/>
          <w:sz w:val="36"/>
        </w:rPr>
        <w:t xml:space="preserve"> </w:t>
      </w:r>
      <w:r w:rsidR="005E3BAC" w:rsidRPr="00D553A8">
        <w:rPr>
          <w:b/>
          <w:color w:val="4F81BD"/>
          <w:sz w:val="36"/>
        </w:rPr>
        <w:t xml:space="preserve">Ref: </w:t>
      </w:r>
      <w:r w:rsidR="00002C9F" w:rsidRPr="00002C9F">
        <w:rPr>
          <w:sz w:val="32"/>
        </w:rPr>
        <w:t>981820427</w:t>
      </w:r>
    </w:p>
    <w:sdt>
      <w:sdtPr>
        <w:rPr>
          <w:rFonts w:ascii="Calibri" w:eastAsia="Calibri" w:hAnsi="Calibri" w:cs="Calibri"/>
          <w:b/>
          <w:color w:val="auto"/>
          <w:sz w:val="22"/>
          <w:szCs w:val="22"/>
        </w:rPr>
        <w:id w:val="540325783"/>
        <w:docPartObj>
          <w:docPartGallery w:val="Table of Contents"/>
          <w:docPartUnique/>
        </w:docPartObj>
      </w:sdtPr>
      <w:sdtEndPr>
        <w:rPr>
          <w:b w:val="0"/>
        </w:rPr>
      </w:sdtEndPr>
      <w:sdtContent>
        <w:p w14:paraId="34BB6432" w14:textId="77777777" w:rsidR="004203FF" w:rsidRPr="00D553A8" w:rsidRDefault="005E3BAC" w:rsidP="00D32B5C">
          <w:pPr>
            <w:pStyle w:val="TOCHeading"/>
            <w:numPr>
              <w:ilvl w:val="0"/>
              <w:numId w:val="0"/>
            </w:numPr>
            <w:ind w:left="431" w:hanging="431"/>
          </w:pPr>
          <w:r w:rsidRPr="00D553A8">
            <w:t>Table of c</w:t>
          </w:r>
          <w:r w:rsidR="004203FF" w:rsidRPr="00D553A8">
            <w:t>ontents</w:t>
          </w:r>
        </w:p>
        <w:p w14:paraId="4B261BE9" w14:textId="5BF20F3C" w:rsidR="00A502CA" w:rsidRDefault="00660549">
          <w:pPr>
            <w:pStyle w:val="TOC1"/>
            <w:rPr>
              <w:rFonts w:asciiTheme="minorHAnsi" w:eastAsiaTheme="minorEastAsia" w:hAnsiTheme="minorHAnsi" w:cstheme="minorBidi"/>
              <w:noProof/>
              <w:kern w:val="2"/>
              <w:sz w:val="24"/>
              <w:szCs w:val="24"/>
              <w:lang w:eastAsia="en-GB"/>
              <w14:ligatures w14:val="standardContextual"/>
            </w:rPr>
          </w:pPr>
          <w:r w:rsidRPr="00D553A8">
            <w:fldChar w:fldCharType="begin"/>
          </w:r>
          <w:r w:rsidRPr="00D553A8">
            <w:instrText xml:space="preserve"> TOC \o "1-3" \h \z \u </w:instrText>
          </w:r>
          <w:r w:rsidRPr="00D553A8">
            <w:fldChar w:fldCharType="separate"/>
          </w:r>
          <w:hyperlink w:anchor="_Toc213777569" w:history="1">
            <w:r w:rsidR="00A502CA" w:rsidRPr="00285BBF">
              <w:rPr>
                <w:rStyle w:val="Hyperlink"/>
                <w:noProof/>
              </w:rPr>
              <w:t>1</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Introduction</w:t>
            </w:r>
            <w:r w:rsidR="00A502CA">
              <w:rPr>
                <w:noProof/>
                <w:webHidden/>
              </w:rPr>
              <w:tab/>
            </w:r>
            <w:r w:rsidR="00A502CA">
              <w:rPr>
                <w:noProof/>
                <w:webHidden/>
              </w:rPr>
              <w:fldChar w:fldCharType="begin"/>
            </w:r>
            <w:r w:rsidR="00A502CA">
              <w:rPr>
                <w:noProof/>
                <w:webHidden/>
              </w:rPr>
              <w:instrText xml:space="preserve"> PAGEREF _Toc213777569 \h </w:instrText>
            </w:r>
            <w:r w:rsidR="00A502CA">
              <w:rPr>
                <w:noProof/>
                <w:webHidden/>
              </w:rPr>
            </w:r>
            <w:r w:rsidR="00A502CA">
              <w:rPr>
                <w:noProof/>
                <w:webHidden/>
              </w:rPr>
              <w:fldChar w:fldCharType="separate"/>
            </w:r>
            <w:r w:rsidR="006858CA">
              <w:rPr>
                <w:noProof/>
                <w:webHidden/>
              </w:rPr>
              <w:t>4</w:t>
            </w:r>
            <w:r w:rsidR="00A502CA">
              <w:rPr>
                <w:noProof/>
                <w:webHidden/>
              </w:rPr>
              <w:fldChar w:fldCharType="end"/>
            </w:r>
          </w:hyperlink>
        </w:p>
        <w:p w14:paraId="1009883F" w14:textId="53D24D0C"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570" w:history="1">
            <w:r w:rsidR="00A502CA" w:rsidRPr="00285BBF">
              <w:rPr>
                <w:rStyle w:val="Hyperlink"/>
                <w:noProof/>
              </w:rPr>
              <w:t>1.1</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HQIP and the National Clinical Audit and Patient Outcomes Programme</w:t>
            </w:r>
            <w:r w:rsidR="00A502CA">
              <w:rPr>
                <w:noProof/>
                <w:webHidden/>
              </w:rPr>
              <w:tab/>
            </w:r>
            <w:r w:rsidR="00A502CA">
              <w:rPr>
                <w:noProof/>
                <w:webHidden/>
              </w:rPr>
              <w:fldChar w:fldCharType="begin"/>
            </w:r>
            <w:r w:rsidR="00A502CA">
              <w:rPr>
                <w:noProof/>
                <w:webHidden/>
              </w:rPr>
              <w:instrText xml:space="preserve"> PAGEREF _Toc213777570 \h </w:instrText>
            </w:r>
            <w:r w:rsidR="00A502CA">
              <w:rPr>
                <w:noProof/>
                <w:webHidden/>
              </w:rPr>
            </w:r>
            <w:r w:rsidR="00A502CA">
              <w:rPr>
                <w:noProof/>
                <w:webHidden/>
              </w:rPr>
              <w:fldChar w:fldCharType="separate"/>
            </w:r>
            <w:r>
              <w:rPr>
                <w:noProof/>
                <w:webHidden/>
              </w:rPr>
              <w:t>4</w:t>
            </w:r>
            <w:r w:rsidR="00A502CA">
              <w:rPr>
                <w:noProof/>
                <w:webHidden/>
              </w:rPr>
              <w:fldChar w:fldCharType="end"/>
            </w:r>
          </w:hyperlink>
        </w:p>
        <w:p w14:paraId="58BCA11E" w14:textId="74254166"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571" w:history="1">
            <w:r w:rsidR="00A502CA" w:rsidRPr="00285BBF">
              <w:rPr>
                <w:rStyle w:val="Hyperlink"/>
                <w:noProof/>
              </w:rPr>
              <w:t>1.2</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Background and need for an audit</w:t>
            </w:r>
            <w:r w:rsidR="00A502CA">
              <w:rPr>
                <w:noProof/>
                <w:webHidden/>
              </w:rPr>
              <w:tab/>
            </w:r>
            <w:r w:rsidR="00A502CA">
              <w:rPr>
                <w:noProof/>
                <w:webHidden/>
              </w:rPr>
              <w:fldChar w:fldCharType="begin"/>
            </w:r>
            <w:r w:rsidR="00A502CA">
              <w:rPr>
                <w:noProof/>
                <w:webHidden/>
              </w:rPr>
              <w:instrText xml:space="preserve"> PAGEREF _Toc213777571 \h </w:instrText>
            </w:r>
            <w:r w:rsidR="00A502CA">
              <w:rPr>
                <w:noProof/>
                <w:webHidden/>
              </w:rPr>
            </w:r>
            <w:r w:rsidR="00A502CA">
              <w:rPr>
                <w:noProof/>
                <w:webHidden/>
              </w:rPr>
              <w:fldChar w:fldCharType="separate"/>
            </w:r>
            <w:r>
              <w:rPr>
                <w:noProof/>
                <w:webHidden/>
              </w:rPr>
              <w:t>4</w:t>
            </w:r>
            <w:r w:rsidR="00A502CA">
              <w:rPr>
                <w:noProof/>
                <w:webHidden/>
              </w:rPr>
              <w:fldChar w:fldCharType="end"/>
            </w:r>
          </w:hyperlink>
        </w:p>
        <w:p w14:paraId="577DD9A2" w14:textId="31251ADD"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572" w:history="1">
            <w:r w:rsidR="00A502CA" w:rsidRPr="00285BBF">
              <w:rPr>
                <w:rStyle w:val="Hyperlink"/>
                <w:noProof/>
              </w:rPr>
              <w:t>1.3</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Aims and objectives of a national clinical audit</w:t>
            </w:r>
            <w:r w:rsidR="00A502CA">
              <w:rPr>
                <w:noProof/>
                <w:webHidden/>
              </w:rPr>
              <w:tab/>
            </w:r>
            <w:r w:rsidR="00A502CA">
              <w:rPr>
                <w:noProof/>
                <w:webHidden/>
              </w:rPr>
              <w:fldChar w:fldCharType="begin"/>
            </w:r>
            <w:r w:rsidR="00A502CA">
              <w:rPr>
                <w:noProof/>
                <w:webHidden/>
              </w:rPr>
              <w:instrText xml:space="preserve"> PAGEREF _Toc213777572 \h </w:instrText>
            </w:r>
            <w:r w:rsidR="00A502CA">
              <w:rPr>
                <w:noProof/>
                <w:webHidden/>
              </w:rPr>
            </w:r>
            <w:r w:rsidR="00A502CA">
              <w:rPr>
                <w:noProof/>
                <w:webHidden/>
              </w:rPr>
              <w:fldChar w:fldCharType="separate"/>
            </w:r>
            <w:r>
              <w:rPr>
                <w:noProof/>
                <w:webHidden/>
              </w:rPr>
              <w:t>4</w:t>
            </w:r>
            <w:r w:rsidR="00A502CA">
              <w:rPr>
                <w:noProof/>
                <w:webHidden/>
              </w:rPr>
              <w:fldChar w:fldCharType="end"/>
            </w:r>
          </w:hyperlink>
        </w:p>
        <w:p w14:paraId="1212FE9C" w14:textId="5B115289"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573" w:history="1">
            <w:r w:rsidR="00A502CA" w:rsidRPr="00285BBF">
              <w:rPr>
                <w:rStyle w:val="Hyperlink"/>
                <w:noProof/>
              </w:rPr>
              <w:t>1.4</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Specification development</w:t>
            </w:r>
            <w:r w:rsidR="00A502CA">
              <w:rPr>
                <w:noProof/>
                <w:webHidden/>
              </w:rPr>
              <w:tab/>
            </w:r>
            <w:r w:rsidR="00A502CA">
              <w:rPr>
                <w:noProof/>
                <w:webHidden/>
              </w:rPr>
              <w:fldChar w:fldCharType="begin"/>
            </w:r>
            <w:r w:rsidR="00A502CA">
              <w:rPr>
                <w:noProof/>
                <w:webHidden/>
              </w:rPr>
              <w:instrText xml:space="preserve"> PAGEREF _Toc213777573 \h </w:instrText>
            </w:r>
            <w:r w:rsidR="00A502CA">
              <w:rPr>
                <w:noProof/>
                <w:webHidden/>
              </w:rPr>
            </w:r>
            <w:r w:rsidR="00A502CA">
              <w:rPr>
                <w:noProof/>
                <w:webHidden/>
              </w:rPr>
              <w:fldChar w:fldCharType="separate"/>
            </w:r>
            <w:r>
              <w:rPr>
                <w:noProof/>
                <w:webHidden/>
              </w:rPr>
              <w:t>5</w:t>
            </w:r>
            <w:r w:rsidR="00A502CA">
              <w:rPr>
                <w:noProof/>
                <w:webHidden/>
              </w:rPr>
              <w:fldChar w:fldCharType="end"/>
            </w:r>
          </w:hyperlink>
        </w:p>
        <w:p w14:paraId="7DBE6994" w14:textId="46758452" w:rsidR="00A502CA" w:rsidRDefault="006858CA">
          <w:pPr>
            <w:pStyle w:val="TOC1"/>
            <w:rPr>
              <w:rFonts w:asciiTheme="minorHAnsi" w:eastAsiaTheme="minorEastAsia" w:hAnsiTheme="minorHAnsi" w:cstheme="minorBidi"/>
              <w:noProof/>
              <w:kern w:val="2"/>
              <w:sz w:val="24"/>
              <w:szCs w:val="24"/>
              <w:lang w:eastAsia="en-GB"/>
              <w14:ligatures w14:val="standardContextual"/>
            </w:rPr>
          </w:pPr>
          <w:hyperlink w:anchor="_Toc213777574" w:history="1">
            <w:r w:rsidR="00A502CA" w:rsidRPr="00285BBF">
              <w:rPr>
                <w:rStyle w:val="Hyperlink"/>
                <w:noProof/>
              </w:rPr>
              <w:t>2</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Contract opportunity</w:t>
            </w:r>
            <w:r w:rsidR="00A502CA">
              <w:rPr>
                <w:noProof/>
                <w:webHidden/>
              </w:rPr>
              <w:tab/>
            </w:r>
            <w:r w:rsidR="00A502CA">
              <w:rPr>
                <w:noProof/>
                <w:webHidden/>
              </w:rPr>
              <w:fldChar w:fldCharType="begin"/>
            </w:r>
            <w:r w:rsidR="00A502CA">
              <w:rPr>
                <w:noProof/>
                <w:webHidden/>
              </w:rPr>
              <w:instrText xml:space="preserve"> PAGEREF _Toc213777574 \h </w:instrText>
            </w:r>
            <w:r w:rsidR="00A502CA">
              <w:rPr>
                <w:noProof/>
                <w:webHidden/>
              </w:rPr>
            </w:r>
            <w:r w:rsidR="00A502CA">
              <w:rPr>
                <w:noProof/>
                <w:webHidden/>
              </w:rPr>
              <w:fldChar w:fldCharType="separate"/>
            </w:r>
            <w:r>
              <w:rPr>
                <w:noProof/>
                <w:webHidden/>
              </w:rPr>
              <w:t>6</w:t>
            </w:r>
            <w:r w:rsidR="00A502CA">
              <w:rPr>
                <w:noProof/>
                <w:webHidden/>
              </w:rPr>
              <w:fldChar w:fldCharType="end"/>
            </w:r>
          </w:hyperlink>
        </w:p>
        <w:p w14:paraId="0CE55AD7" w14:textId="53A2FB5E" w:rsidR="00A502CA" w:rsidRDefault="006858CA">
          <w:pPr>
            <w:pStyle w:val="TOC1"/>
            <w:rPr>
              <w:rFonts w:asciiTheme="minorHAnsi" w:eastAsiaTheme="minorEastAsia" w:hAnsiTheme="minorHAnsi" w:cstheme="minorBidi"/>
              <w:noProof/>
              <w:kern w:val="2"/>
              <w:sz w:val="24"/>
              <w:szCs w:val="24"/>
              <w:lang w:eastAsia="en-GB"/>
              <w14:ligatures w14:val="standardContextual"/>
            </w:rPr>
          </w:pPr>
          <w:hyperlink w:anchor="_Toc213777575" w:history="1">
            <w:r w:rsidR="00A502CA" w:rsidRPr="00285BBF">
              <w:rPr>
                <w:rStyle w:val="Hyperlink"/>
                <w:noProof/>
              </w:rPr>
              <w:t>3</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Details of the project</w:t>
            </w:r>
            <w:r w:rsidR="00A502CA">
              <w:rPr>
                <w:noProof/>
                <w:webHidden/>
              </w:rPr>
              <w:tab/>
            </w:r>
            <w:r w:rsidR="00A502CA">
              <w:rPr>
                <w:noProof/>
                <w:webHidden/>
              </w:rPr>
              <w:fldChar w:fldCharType="begin"/>
            </w:r>
            <w:r w:rsidR="00A502CA">
              <w:rPr>
                <w:noProof/>
                <w:webHidden/>
              </w:rPr>
              <w:instrText xml:space="preserve"> PAGEREF _Toc213777575 \h </w:instrText>
            </w:r>
            <w:r w:rsidR="00A502CA">
              <w:rPr>
                <w:noProof/>
                <w:webHidden/>
              </w:rPr>
            </w:r>
            <w:r w:rsidR="00A502CA">
              <w:rPr>
                <w:noProof/>
                <w:webHidden/>
              </w:rPr>
              <w:fldChar w:fldCharType="separate"/>
            </w:r>
            <w:r>
              <w:rPr>
                <w:noProof/>
                <w:webHidden/>
              </w:rPr>
              <w:t>6</w:t>
            </w:r>
            <w:r w:rsidR="00A502CA">
              <w:rPr>
                <w:noProof/>
                <w:webHidden/>
              </w:rPr>
              <w:fldChar w:fldCharType="end"/>
            </w:r>
          </w:hyperlink>
        </w:p>
        <w:p w14:paraId="55DA982F" w14:textId="22443400"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576" w:history="1">
            <w:r w:rsidR="00A502CA" w:rsidRPr="00285BBF">
              <w:rPr>
                <w:rStyle w:val="Hyperlink"/>
                <w:noProof/>
              </w:rPr>
              <w:t>3.1</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Inclusions</w:t>
            </w:r>
            <w:r w:rsidR="00A502CA">
              <w:rPr>
                <w:noProof/>
                <w:webHidden/>
              </w:rPr>
              <w:tab/>
            </w:r>
            <w:r w:rsidR="00A502CA">
              <w:rPr>
                <w:noProof/>
                <w:webHidden/>
              </w:rPr>
              <w:fldChar w:fldCharType="begin"/>
            </w:r>
            <w:r w:rsidR="00A502CA">
              <w:rPr>
                <w:noProof/>
                <w:webHidden/>
              </w:rPr>
              <w:instrText xml:space="preserve"> PAGEREF _Toc213777576 \h </w:instrText>
            </w:r>
            <w:r w:rsidR="00A502CA">
              <w:rPr>
                <w:noProof/>
                <w:webHidden/>
              </w:rPr>
            </w:r>
            <w:r w:rsidR="00A502CA">
              <w:rPr>
                <w:noProof/>
                <w:webHidden/>
              </w:rPr>
              <w:fldChar w:fldCharType="separate"/>
            </w:r>
            <w:r>
              <w:rPr>
                <w:noProof/>
                <w:webHidden/>
              </w:rPr>
              <w:t>6</w:t>
            </w:r>
            <w:r w:rsidR="00A502CA">
              <w:rPr>
                <w:noProof/>
                <w:webHidden/>
              </w:rPr>
              <w:fldChar w:fldCharType="end"/>
            </w:r>
          </w:hyperlink>
        </w:p>
        <w:p w14:paraId="3E0D381D" w14:textId="07CDAB2A" w:rsidR="00A502CA" w:rsidRDefault="006858CA">
          <w:pPr>
            <w:pStyle w:val="TOC3"/>
            <w:rPr>
              <w:rFonts w:asciiTheme="minorHAnsi" w:eastAsiaTheme="minorEastAsia" w:hAnsiTheme="minorHAnsi" w:cstheme="minorBidi"/>
              <w:noProof/>
              <w:kern w:val="2"/>
              <w:sz w:val="24"/>
              <w:szCs w:val="24"/>
              <w:lang w:eastAsia="en-GB"/>
              <w14:ligatures w14:val="standardContextual"/>
            </w:rPr>
          </w:pPr>
          <w:hyperlink w:anchor="_Toc213777577" w:history="1">
            <w:r w:rsidR="00A502CA" w:rsidRPr="00285BBF">
              <w:rPr>
                <w:rStyle w:val="Hyperlink"/>
                <w:noProof/>
              </w:rPr>
              <w:t>3.1.1</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Services</w:t>
            </w:r>
            <w:r w:rsidR="00A502CA">
              <w:rPr>
                <w:noProof/>
                <w:webHidden/>
              </w:rPr>
              <w:tab/>
            </w:r>
            <w:r w:rsidR="00A502CA">
              <w:rPr>
                <w:noProof/>
                <w:webHidden/>
              </w:rPr>
              <w:fldChar w:fldCharType="begin"/>
            </w:r>
            <w:r w:rsidR="00A502CA">
              <w:rPr>
                <w:noProof/>
                <w:webHidden/>
              </w:rPr>
              <w:instrText xml:space="preserve"> PAGEREF _Toc213777577 \h </w:instrText>
            </w:r>
            <w:r w:rsidR="00A502CA">
              <w:rPr>
                <w:noProof/>
                <w:webHidden/>
              </w:rPr>
            </w:r>
            <w:r w:rsidR="00A502CA">
              <w:rPr>
                <w:noProof/>
                <w:webHidden/>
              </w:rPr>
              <w:fldChar w:fldCharType="separate"/>
            </w:r>
            <w:r>
              <w:rPr>
                <w:noProof/>
                <w:webHidden/>
              </w:rPr>
              <w:t>6</w:t>
            </w:r>
            <w:r w:rsidR="00A502CA">
              <w:rPr>
                <w:noProof/>
                <w:webHidden/>
              </w:rPr>
              <w:fldChar w:fldCharType="end"/>
            </w:r>
          </w:hyperlink>
        </w:p>
        <w:p w14:paraId="1C2E7FBD" w14:textId="6DE48028" w:rsidR="00A502CA" w:rsidRDefault="006858CA">
          <w:pPr>
            <w:pStyle w:val="TOC3"/>
            <w:rPr>
              <w:rFonts w:asciiTheme="minorHAnsi" w:eastAsiaTheme="minorEastAsia" w:hAnsiTheme="minorHAnsi" w:cstheme="minorBidi"/>
              <w:noProof/>
              <w:kern w:val="2"/>
              <w:sz w:val="24"/>
              <w:szCs w:val="24"/>
              <w:lang w:eastAsia="en-GB"/>
              <w14:ligatures w14:val="standardContextual"/>
            </w:rPr>
          </w:pPr>
          <w:hyperlink w:anchor="_Toc213777578" w:history="1">
            <w:r w:rsidR="00A502CA" w:rsidRPr="00285BBF">
              <w:rPr>
                <w:rStyle w:val="Hyperlink"/>
                <w:noProof/>
              </w:rPr>
              <w:t>3.1.2</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Population</w:t>
            </w:r>
            <w:r w:rsidR="00A502CA">
              <w:rPr>
                <w:noProof/>
                <w:webHidden/>
              </w:rPr>
              <w:tab/>
            </w:r>
            <w:r w:rsidR="00A502CA">
              <w:rPr>
                <w:noProof/>
                <w:webHidden/>
              </w:rPr>
              <w:fldChar w:fldCharType="begin"/>
            </w:r>
            <w:r w:rsidR="00A502CA">
              <w:rPr>
                <w:noProof/>
                <w:webHidden/>
              </w:rPr>
              <w:instrText xml:space="preserve"> PAGEREF _Toc213777578 \h </w:instrText>
            </w:r>
            <w:r w:rsidR="00A502CA">
              <w:rPr>
                <w:noProof/>
                <w:webHidden/>
              </w:rPr>
            </w:r>
            <w:r w:rsidR="00A502CA">
              <w:rPr>
                <w:noProof/>
                <w:webHidden/>
              </w:rPr>
              <w:fldChar w:fldCharType="separate"/>
            </w:r>
            <w:r>
              <w:rPr>
                <w:noProof/>
                <w:webHidden/>
              </w:rPr>
              <w:t>6</w:t>
            </w:r>
            <w:r w:rsidR="00A502CA">
              <w:rPr>
                <w:noProof/>
                <w:webHidden/>
              </w:rPr>
              <w:fldChar w:fldCharType="end"/>
            </w:r>
          </w:hyperlink>
        </w:p>
        <w:p w14:paraId="3EE728E9" w14:textId="1FF6A7F5" w:rsidR="00A502CA" w:rsidRDefault="006858CA">
          <w:pPr>
            <w:pStyle w:val="TOC3"/>
            <w:rPr>
              <w:rFonts w:asciiTheme="minorHAnsi" w:eastAsiaTheme="minorEastAsia" w:hAnsiTheme="minorHAnsi" w:cstheme="minorBidi"/>
              <w:noProof/>
              <w:kern w:val="2"/>
              <w:sz w:val="24"/>
              <w:szCs w:val="24"/>
              <w:lang w:eastAsia="en-GB"/>
              <w14:ligatures w14:val="standardContextual"/>
            </w:rPr>
          </w:pPr>
          <w:hyperlink w:anchor="_Toc213777579" w:history="1">
            <w:r w:rsidR="00A502CA" w:rsidRPr="00285BBF">
              <w:rPr>
                <w:rStyle w:val="Hyperlink"/>
                <w:noProof/>
              </w:rPr>
              <w:t>3.1.3</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Geographical</w:t>
            </w:r>
            <w:r w:rsidR="00A502CA">
              <w:rPr>
                <w:noProof/>
                <w:webHidden/>
              </w:rPr>
              <w:tab/>
            </w:r>
            <w:r w:rsidR="00A502CA">
              <w:rPr>
                <w:noProof/>
                <w:webHidden/>
              </w:rPr>
              <w:fldChar w:fldCharType="begin"/>
            </w:r>
            <w:r w:rsidR="00A502CA">
              <w:rPr>
                <w:noProof/>
                <w:webHidden/>
              </w:rPr>
              <w:instrText xml:space="preserve"> PAGEREF _Toc213777579 \h </w:instrText>
            </w:r>
            <w:r w:rsidR="00A502CA">
              <w:rPr>
                <w:noProof/>
                <w:webHidden/>
              </w:rPr>
            </w:r>
            <w:r w:rsidR="00A502CA">
              <w:rPr>
                <w:noProof/>
                <w:webHidden/>
              </w:rPr>
              <w:fldChar w:fldCharType="separate"/>
            </w:r>
            <w:r>
              <w:rPr>
                <w:noProof/>
                <w:webHidden/>
              </w:rPr>
              <w:t>6</w:t>
            </w:r>
            <w:r w:rsidR="00A502CA">
              <w:rPr>
                <w:noProof/>
                <w:webHidden/>
              </w:rPr>
              <w:fldChar w:fldCharType="end"/>
            </w:r>
          </w:hyperlink>
        </w:p>
        <w:p w14:paraId="451955C6" w14:textId="0294F2EA"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580" w:history="1">
            <w:r w:rsidR="00A502CA" w:rsidRPr="00285BBF">
              <w:rPr>
                <w:rStyle w:val="Hyperlink"/>
                <w:noProof/>
              </w:rPr>
              <w:t>3.2</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 xml:space="preserve">Project requirement </w:t>
            </w:r>
            <w:r w:rsidR="00A502CA">
              <w:rPr>
                <w:noProof/>
                <w:webHidden/>
              </w:rPr>
              <w:tab/>
            </w:r>
            <w:r w:rsidR="00A502CA">
              <w:rPr>
                <w:noProof/>
                <w:webHidden/>
              </w:rPr>
              <w:fldChar w:fldCharType="begin"/>
            </w:r>
            <w:r w:rsidR="00A502CA">
              <w:rPr>
                <w:noProof/>
                <w:webHidden/>
              </w:rPr>
              <w:instrText xml:space="preserve"> PAGEREF _Toc213777580 \h </w:instrText>
            </w:r>
            <w:r w:rsidR="00A502CA">
              <w:rPr>
                <w:noProof/>
                <w:webHidden/>
              </w:rPr>
            </w:r>
            <w:r w:rsidR="00A502CA">
              <w:rPr>
                <w:noProof/>
                <w:webHidden/>
              </w:rPr>
              <w:fldChar w:fldCharType="separate"/>
            </w:r>
            <w:r>
              <w:rPr>
                <w:noProof/>
                <w:webHidden/>
              </w:rPr>
              <w:t>6</w:t>
            </w:r>
            <w:r w:rsidR="00A502CA">
              <w:rPr>
                <w:noProof/>
                <w:webHidden/>
              </w:rPr>
              <w:fldChar w:fldCharType="end"/>
            </w:r>
          </w:hyperlink>
        </w:p>
        <w:p w14:paraId="77FC72AE" w14:textId="1E804A1C" w:rsidR="00A502CA" w:rsidRDefault="006858CA">
          <w:pPr>
            <w:pStyle w:val="TOC3"/>
            <w:rPr>
              <w:rFonts w:asciiTheme="minorHAnsi" w:eastAsiaTheme="minorEastAsia" w:hAnsiTheme="minorHAnsi" w:cstheme="minorBidi"/>
              <w:noProof/>
              <w:kern w:val="2"/>
              <w:sz w:val="24"/>
              <w:szCs w:val="24"/>
              <w:lang w:eastAsia="en-GB"/>
              <w14:ligatures w14:val="standardContextual"/>
            </w:rPr>
          </w:pPr>
          <w:hyperlink w:anchor="_Toc213777581" w:history="1">
            <w:r w:rsidR="00A502CA" w:rsidRPr="00285BBF">
              <w:rPr>
                <w:rStyle w:val="Hyperlink"/>
                <w:noProof/>
              </w:rPr>
              <w:t>3.2.1</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Prospective clinical audit</w:t>
            </w:r>
            <w:r w:rsidR="00A502CA">
              <w:rPr>
                <w:noProof/>
                <w:webHidden/>
              </w:rPr>
              <w:tab/>
            </w:r>
            <w:r w:rsidR="00A502CA">
              <w:rPr>
                <w:noProof/>
                <w:webHidden/>
              </w:rPr>
              <w:fldChar w:fldCharType="begin"/>
            </w:r>
            <w:r w:rsidR="00A502CA">
              <w:rPr>
                <w:noProof/>
                <w:webHidden/>
              </w:rPr>
              <w:instrText xml:space="preserve"> PAGEREF _Toc213777581 \h </w:instrText>
            </w:r>
            <w:r w:rsidR="00A502CA">
              <w:rPr>
                <w:noProof/>
                <w:webHidden/>
              </w:rPr>
            </w:r>
            <w:r w:rsidR="00A502CA">
              <w:rPr>
                <w:noProof/>
                <w:webHidden/>
              </w:rPr>
              <w:fldChar w:fldCharType="separate"/>
            </w:r>
            <w:r>
              <w:rPr>
                <w:noProof/>
                <w:webHidden/>
              </w:rPr>
              <w:t>7</w:t>
            </w:r>
            <w:r w:rsidR="00A502CA">
              <w:rPr>
                <w:noProof/>
                <w:webHidden/>
              </w:rPr>
              <w:fldChar w:fldCharType="end"/>
            </w:r>
          </w:hyperlink>
        </w:p>
        <w:p w14:paraId="2AC870AD" w14:textId="1D25ECA1" w:rsidR="00A502CA" w:rsidRDefault="006858CA">
          <w:pPr>
            <w:pStyle w:val="TOC3"/>
            <w:rPr>
              <w:rFonts w:asciiTheme="minorHAnsi" w:eastAsiaTheme="minorEastAsia" w:hAnsiTheme="minorHAnsi" w:cstheme="minorBidi"/>
              <w:noProof/>
              <w:kern w:val="2"/>
              <w:sz w:val="24"/>
              <w:szCs w:val="24"/>
              <w:lang w:eastAsia="en-GB"/>
              <w14:ligatures w14:val="standardContextual"/>
            </w:rPr>
          </w:pPr>
          <w:hyperlink w:anchor="_Toc213777582" w:history="1">
            <w:r w:rsidR="00A502CA" w:rsidRPr="00285BBF">
              <w:rPr>
                <w:rStyle w:val="Hyperlink"/>
                <w:noProof/>
              </w:rPr>
              <w:t>3.2.2</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Organisational survey</w:t>
            </w:r>
            <w:r w:rsidR="00A502CA">
              <w:rPr>
                <w:noProof/>
                <w:webHidden/>
              </w:rPr>
              <w:tab/>
            </w:r>
            <w:r w:rsidR="00A502CA">
              <w:rPr>
                <w:noProof/>
                <w:webHidden/>
              </w:rPr>
              <w:fldChar w:fldCharType="begin"/>
            </w:r>
            <w:r w:rsidR="00A502CA">
              <w:rPr>
                <w:noProof/>
                <w:webHidden/>
              </w:rPr>
              <w:instrText xml:space="preserve"> PAGEREF _Toc213777582 \h </w:instrText>
            </w:r>
            <w:r w:rsidR="00A502CA">
              <w:rPr>
                <w:noProof/>
                <w:webHidden/>
              </w:rPr>
            </w:r>
            <w:r w:rsidR="00A502CA">
              <w:rPr>
                <w:noProof/>
                <w:webHidden/>
              </w:rPr>
              <w:fldChar w:fldCharType="separate"/>
            </w:r>
            <w:r>
              <w:rPr>
                <w:noProof/>
                <w:webHidden/>
              </w:rPr>
              <w:t>7</w:t>
            </w:r>
            <w:r w:rsidR="00A502CA">
              <w:rPr>
                <w:noProof/>
                <w:webHidden/>
              </w:rPr>
              <w:fldChar w:fldCharType="end"/>
            </w:r>
          </w:hyperlink>
        </w:p>
        <w:p w14:paraId="6697733D" w14:textId="373B4ECC" w:rsidR="00A502CA" w:rsidRDefault="006858CA">
          <w:pPr>
            <w:pStyle w:val="TOC1"/>
            <w:rPr>
              <w:rFonts w:asciiTheme="minorHAnsi" w:eastAsiaTheme="minorEastAsia" w:hAnsiTheme="minorHAnsi" w:cstheme="minorBidi"/>
              <w:noProof/>
              <w:kern w:val="2"/>
              <w:sz w:val="24"/>
              <w:szCs w:val="24"/>
              <w:lang w:eastAsia="en-GB"/>
              <w14:ligatures w14:val="standardContextual"/>
            </w:rPr>
          </w:pPr>
          <w:hyperlink w:anchor="_Toc213777583" w:history="1">
            <w:r w:rsidR="00A502CA" w:rsidRPr="00285BBF">
              <w:rPr>
                <w:rStyle w:val="Hyperlink"/>
                <w:noProof/>
              </w:rPr>
              <w:t>4</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Outputs</w:t>
            </w:r>
            <w:r w:rsidR="00A502CA">
              <w:rPr>
                <w:noProof/>
                <w:webHidden/>
              </w:rPr>
              <w:tab/>
            </w:r>
            <w:r w:rsidR="00A502CA">
              <w:rPr>
                <w:noProof/>
                <w:webHidden/>
              </w:rPr>
              <w:fldChar w:fldCharType="begin"/>
            </w:r>
            <w:r w:rsidR="00A502CA">
              <w:rPr>
                <w:noProof/>
                <w:webHidden/>
              </w:rPr>
              <w:instrText xml:space="preserve"> PAGEREF _Toc213777583 \h </w:instrText>
            </w:r>
            <w:r w:rsidR="00A502CA">
              <w:rPr>
                <w:noProof/>
                <w:webHidden/>
              </w:rPr>
            </w:r>
            <w:r w:rsidR="00A502CA">
              <w:rPr>
                <w:noProof/>
                <w:webHidden/>
              </w:rPr>
              <w:fldChar w:fldCharType="separate"/>
            </w:r>
            <w:r>
              <w:rPr>
                <w:noProof/>
                <w:webHidden/>
              </w:rPr>
              <w:t>7</w:t>
            </w:r>
            <w:r w:rsidR="00A502CA">
              <w:rPr>
                <w:noProof/>
                <w:webHidden/>
              </w:rPr>
              <w:fldChar w:fldCharType="end"/>
            </w:r>
          </w:hyperlink>
        </w:p>
        <w:p w14:paraId="5B2CD58F" w14:textId="711F4628"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584" w:history="1">
            <w:r w:rsidR="00A502CA" w:rsidRPr="00285BBF">
              <w:rPr>
                <w:rStyle w:val="Hyperlink"/>
                <w:noProof/>
              </w:rPr>
              <w:t>4.1</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Summary of outputs</w:t>
            </w:r>
            <w:r w:rsidR="00A502CA">
              <w:rPr>
                <w:noProof/>
                <w:webHidden/>
              </w:rPr>
              <w:tab/>
            </w:r>
            <w:r w:rsidR="00A502CA">
              <w:rPr>
                <w:noProof/>
                <w:webHidden/>
              </w:rPr>
              <w:fldChar w:fldCharType="begin"/>
            </w:r>
            <w:r w:rsidR="00A502CA">
              <w:rPr>
                <w:noProof/>
                <w:webHidden/>
              </w:rPr>
              <w:instrText xml:space="preserve"> PAGEREF _Toc213777584 \h </w:instrText>
            </w:r>
            <w:r w:rsidR="00A502CA">
              <w:rPr>
                <w:noProof/>
                <w:webHidden/>
              </w:rPr>
            </w:r>
            <w:r w:rsidR="00A502CA">
              <w:rPr>
                <w:noProof/>
                <w:webHidden/>
              </w:rPr>
              <w:fldChar w:fldCharType="separate"/>
            </w:r>
            <w:r>
              <w:rPr>
                <w:noProof/>
                <w:webHidden/>
              </w:rPr>
              <w:t>7</w:t>
            </w:r>
            <w:r w:rsidR="00A502CA">
              <w:rPr>
                <w:noProof/>
                <w:webHidden/>
              </w:rPr>
              <w:fldChar w:fldCharType="end"/>
            </w:r>
          </w:hyperlink>
        </w:p>
        <w:p w14:paraId="6209A617" w14:textId="0AA0D5AF"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585" w:history="1">
            <w:r w:rsidR="00A502CA" w:rsidRPr="00285BBF">
              <w:rPr>
                <w:rStyle w:val="Hyperlink"/>
                <w:noProof/>
              </w:rPr>
              <w:t>4.2</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Metric results</w:t>
            </w:r>
            <w:r w:rsidR="00A502CA">
              <w:rPr>
                <w:noProof/>
                <w:webHidden/>
              </w:rPr>
              <w:tab/>
            </w:r>
            <w:r w:rsidR="00A502CA">
              <w:rPr>
                <w:noProof/>
                <w:webHidden/>
              </w:rPr>
              <w:fldChar w:fldCharType="begin"/>
            </w:r>
            <w:r w:rsidR="00A502CA">
              <w:rPr>
                <w:noProof/>
                <w:webHidden/>
              </w:rPr>
              <w:instrText xml:space="preserve"> PAGEREF _Toc213777585 \h </w:instrText>
            </w:r>
            <w:r w:rsidR="00A502CA">
              <w:rPr>
                <w:noProof/>
                <w:webHidden/>
              </w:rPr>
            </w:r>
            <w:r w:rsidR="00A502CA">
              <w:rPr>
                <w:noProof/>
                <w:webHidden/>
              </w:rPr>
              <w:fldChar w:fldCharType="separate"/>
            </w:r>
            <w:r>
              <w:rPr>
                <w:noProof/>
                <w:webHidden/>
              </w:rPr>
              <w:t>7</w:t>
            </w:r>
            <w:r w:rsidR="00A502CA">
              <w:rPr>
                <w:noProof/>
                <w:webHidden/>
              </w:rPr>
              <w:fldChar w:fldCharType="end"/>
            </w:r>
          </w:hyperlink>
        </w:p>
        <w:p w14:paraId="2735A3B6" w14:textId="51EA1320"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586" w:history="1">
            <w:r w:rsidR="00A502CA" w:rsidRPr="00285BBF">
              <w:rPr>
                <w:rStyle w:val="Hyperlink"/>
                <w:noProof/>
              </w:rPr>
              <w:t>4.3</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Reports</w:t>
            </w:r>
            <w:r w:rsidR="00A502CA">
              <w:rPr>
                <w:noProof/>
                <w:webHidden/>
              </w:rPr>
              <w:tab/>
            </w:r>
            <w:r w:rsidR="00A502CA">
              <w:rPr>
                <w:noProof/>
                <w:webHidden/>
              </w:rPr>
              <w:fldChar w:fldCharType="begin"/>
            </w:r>
            <w:r w:rsidR="00A502CA">
              <w:rPr>
                <w:noProof/>
                <w:webHidden/>
              </w:rPr>
              <w:instrText xml:space="preserve"> PAGEREF _Toc213777586 \h </w:instrText>
            </w:r>
            <w:r w:rsidR="00A502CA">
              <w:rPr>
                <w:noProof/>
                <w:webHidden/>
              </w:rPr>
            </w:r>
            <w:r w:rsidR="00A502CA">
              <w:rPr>
                <w:noProof/>
                <w:webHidden/>
              </w:rPr>
              <w:fldChar w:fldCharType="separate"/>
            </w:r>
            <w:r>
              <w:rPr>
                <w:noProof/>
                <w:webHidden/>
              </w:rPr>
              <w:t>8</w:t>
            </w:r>
            <w:r w:rsidR="00A502CA">
              <w:rPr>
                <w:noProof/>
                <w:webHidden/>
              </w:rPr>
              <w:fldChar w:fldCharType="end"/>
            </w:r>
          </w:hyperlink>
        </w:p>
        <w:p w14:paraId="4FD65169" w14:textId="21F49329"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587" w:history="1">
            <w:r w:rsidR="00A502CA" w:rsidRPr="00285BBF">
              <w:rPr>
                <w:rStyle w:val="Hyperlink"/>
                <w:noProof/>
              </w:rPr>
              <w:t>4.4</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Online healthcare quality improvement resources</w:t>
            </w:r>
            <w:r w:rsidR="00A502CA">
              <w:rPr>
                <w:noProof/>
                <w:webHidden/>
              </w:rPr>
              <w:tab/>
            </w:r>
            <w:r w:rsidR="00A502CA">
              <w:rPr>
                <w:noProof/>
                <w:webHidden/>
              </w:rPr>
              <w:fldChar w:fldCharType="begin"/>
            </w:r>
            <w:r w:rsidR="00A502CA">
              <w:rPr>
                <w:noProof/>
                <w:webHidden/>
              </w:rPr>
              <w:instrText xml:space="preserve"> PAGEREF _Toc213777587 \h </w:instrText>
            </w:r>
            <w:r w:rsidR="00A502CA">
              <w:rPr>
                <w:noProof/>
                <w:webHidden/>
              </w:rPr>
            </w:r>
            <w:r w:rsidR="00A502CA">
              <w:rPr>
                <w:noProof/>
                <w:webHidden/>
              </w:rPr>
              <w:fldChar w:fldCharType="separate"/>
            </w:r>
            <w:r>
              <w:rPr>
                <w:noProof/>
                <w:webHidden/>
              </w:rPr>
              <w:t>9</w:t>
            </w:r>
            <w:r w:rsidR="00A502CA">
              <w:rPr>
                <w:noProof/>
                <w:webHidden/>
              </w:rPr>
              <w:fldChar w:fldCharType="end"/>
            </w:r>
          </w:hyperlink>
        </w:p>
        <w:p w14:paraId="6BFE103E" w14:textId="5A64D6A1"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588" w:history="1">
            <w:r w:rsidR="00A502CA" w:rsidRPr="00285BBF">
              <w:rPr>
                <w:rStyle w:val="Hyperlink"/>
                <w:noProof/>
              </w:rPr>
              <w:t>4.5</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Other output requirements</w:t>
            </w:r>
            <w:r w:rsidR="00A502CA">
              <w:rPr>
                <w:noProof/>
                <w:webHidden/>
              </w:rPr>
              <w:tab/>
            </w:r>
            <w:r w:rsidR="00A502CA">
              <w:rPr>
                <w:noProof/>
                <w:webHidden/>
              </w:rPr>
              <w:fldChar w:fldCharType="begin"/>
            </w:r>
            <w:r w:rsidR="00A502CA">
              <w:rPr>
                <w:noProof/>
                <w:webHidden/>
              </w:rPr>
              <w:instrText xml:space="preserve"> PAGEREF _Toc213777588 \h </w:instrText>
            </w:r>
            <w:r w:rsidR="00A502CA">
              <w:rPr>
                <w:noProof/>
                <w:webHidden/>
              </w:rPr>
            </w:r>
            <w:r w:rsidR="00A502CA">
              <w:rPr>
                <w:noProof/>
                <w:webHidden/>
              </w:rPr>
              <w:fldChar w:fldCharType="separate"/>
            </w:r>
            <w:r>
              <w:rPr>
                <w:noProof/>
                <w:webHidden/>
              </w:rPr>
              <w:t>9</w:t>
            </w:r>
            <w:r w:rsidR="00A502CA">
              <w:rPr>
                <w:noProof/>
                <w:webHidden/>
              </w:rPr>
              <w:fldChar w:fldCharType="end"/>
            </w:r>
          </w:hyperlink>
        </w:p>
        <w:p w14:paraId="0CC21855" w14:textId="389FC585"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589" w:history="1">
            <w:r w:rsidR="00A502CA" w:rsidRPr="00285BBF">
              <w:rPr>
                <w:rStyle w:val="Hyperlink"/>
                <w:noProof/>
              </w:rPr>
              <w:t>4.6</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Management of outliers</w:t>
            </w:r>
            <w:r w:rsidR="00A502CA">
              <w:rPr>
                <w:noProof/>
                <w:webHidden/>
              </w:rPr>
              <w:tab/>
            </w:r>
            <w:r w:rsidR="00A502CA">
              <w:rPr>
                <w:noProof/>
                <w:webHidden/>
              </w:rPr>
              <w:fldChar w:fldCharType="begin"/>
            </w:r>
            <w:r w:rsidR="00A502CA">
              <w:rPr>
                <w:noProof/>
                <w:webHidden/>
              </w:rPr>
              <w:instrText xml:space="preserve"> PAGEREF _Toc213777589 \h </w:instrText>
            </w:r>
            <w:r w:rsidR="00A502CA">
              <w:rPr>
                <w:noProof/>
                <w:webHidden/>
              </w:rPr>
            </w:r>
            <w:r w:rsidR="00A502CA">
              <w:rPr>
                <w:noProof/>
                <w:webHidden/>
              </w:rPr>
              <w:fldChar w:fldCharType="separate"/>
            </w:r>
            <w:r>
              <w:rPr>
                <w:noProof/>
                <w:webHidden/>
              </w:rPr>
              <w:t>9</w:t>
            </w:r>
            <w:r w:rsidR="00A502CA">
              <w:rPr>
                <w:noProof/>
                <w:webHidden/>
              </w:rPr>
              <w:fldChar w:fldCharType="end"/>
            </w:r>
          </w:hyperlink>
        </w:p>
        <w:p w14:paraId="0D2C2775" w14:textId="619C58EB"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590" w:history="1">
            <w:r w:rsidR="00A502CA" w:rsidRPr="00285BBF">
              <w:rPr>
                <w:rStyle w:val="Hyperlink"/>
                <w:noProof/>
              </w:rPr>
              <w:t>4.7</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Cause for concern</w:t>
            </w:r>
            <w:r w:rsidR="00A502CA">
              <w:rPr>
                <w:noProof/>
                <w:webHidden/>
              </w:rPr>
              <w:tab/>
            </w:r>
            <w:r w:rsidR="00A502CA">
              <w:rPr>
                <w:noProof/>
                <w:webHidden/>
              </w:rPr>
              <w:fldChar w:fldCharType="begin"/>
            </w:r>
            <w:r w:rsidR="00A502CA">
              <w:rPr>
                <w:noProof/>
                <w:webHidden/>
              </w:rPr>
              <w:instrText xml:space="preserve"> PAGEREF _Toc213777590 \h </w:instrText>
            </w:r>
            <w:r w:rsidR="00A502CA">
              <w:rPr>
                <w:noProof/>
                <w:webHidden/>
              </w:rPr>
            </w:r>
            <w:r w:rsidR="00A502CA">
              <w:rPr>
                <w:noProof/>
                <w:webHidden/>
              </w:rPr>
              <w:fldChar w:fldCharType="separate"/>
            </w:r>
            <w:r>
              <w:rPr>
                <w:noProof/>
                <w:webHidden/>
              </w:rPr>
              <w:t>9</w:t>
            </w:r>
            <w:r w:rsidR="00A502CA">
              <w:rPr>
                <w:noProof/>
                <w:webHidden/>
              </w:rPr>
              <w:fldChar w:fldCharType="end"/>
            </w:r>
          </w:hyperlink>
        </w:p>
        <w:p w14:paraId="71F27E48" w14:textId="01756512" w:rsidR="00A502CA" w:rsidRDefault="006858CA">
          <w:pPr>
            <w:pStyle w:val="TOC1"/>
            <w:rPr>
              <w:rFonts w:asciiTheme="minorHAnsi" w:eastAsiaTheme="minorEastAsia" w:hAnsiTheme="minorHAnsi" w:cstheme="minorBidi"/>
              <w:noProof/>
              <w:kern w:val="2"/>
              <w:sz w:val="24"/>
              <w:szCs w:val="24"/>
              <w:lang w:eastAsia="en-GB"/>
              <w14:ligatures w14:val="standardContextual"/>
            </w:rPr>
          </w:pPr>
          <w:hyperlink w:anchor="_Toc213777591" w:history="1">
            <w:r w:rsidR="00A502CA" w:rsidRPr="00285BBF">
              <w:rPr>
                <w:rStyle w:val="Hyperlink"/>
                <w:noProof/>
              </w:rPr>
              <w:t>5</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Healthcare quality improvement</w:t>
            </w:r>
            <w:r w:rsidR="00A502CA">
              <w:rPr>
                <w:noProof/>
                <w:webHidden/>
              </w:rPr>
              <w:tab/>
            </w:r>
            <w:r w:rsidR="00A502CA">
              <w:rPr>
                <w:noProof/>
                <w:webHidden/>
              </w:rPr>
              <w:fldChar w:fldCharType="begin"/>
            </w:r>
            <w:r w:rsidR="00A502CA">
              <w:rPr>
                <w:noProof/>
                <w:webHidden/>
              </w:rPr>
              <w:instrText xml:space="preserve"> PAGEREF _Toc213777591 \h </w:instrText>
            </w:r>
            <w:r w:rsidR="00A502CA">
              <w:rPr>
                <w:noProof/>
                <w:webHidden/>
              </w:rPr>
            </w:r>
            <w:r w:rsidR="00A502CA">
              <w:rPr>
                <w:noProof/>
                <w:webHidden/>
              </w:rPr>
              <w:fldChar w:fldCharType="separate"/>
            </w:r>
            <w:r>
              <w:rPr>
                <w:noProof/>
                <w:webHidden/>
              </w:rPr>
              <w:t>10</w:t>
            </w:r>
            <w:r w:rsidR="00A502CA">
              <w:rPr>
                <w:noProof/>
                <w:webHidden/>
              </w:rPr>
              <w:fldChar w:fldCharType="end"/>
            </w:r>
          </w:hyperlink>
        </w:p>
        <w:p w14:paraId="7EE374A2" w14:textId="7B6EBF6A"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592" w:history="1">
            <w:r w:rsidR="00A502CA" w:rsidRPr="00285BBF">
              <w:rPr>
                <w:rStyle w:val="Hyperlink"/>
                <w:noProof/>
              </w:rPr>
              <w:t>5.1</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Healthcare quality improvement plan</w:t>
            </w:r>
            <w:r w:rsidR="00A502CA">
              <w:rPr>
                <w:noProof/>
                <w:webHidden/>
              </w:rPr>
              <w:tab/>
            </w:r>
            <w:r w:rsidR="00A502CA">
              <w:rPr>
                <w:noProof/>
                <w:webHidden/>
              </w:rPr>
              <w:fldChar w:fldCharType="begin"/>
            </w:r>
            <w:r w:rsidR="00A502CA">
              <w:rPr>
                <w:noProof/>
                <w:webHidden/>
              </w:rPr>
              <w:instrText xml:space="preserve"> PAGEREF _Toc213777592 \h </w:instrText>
            </w:r>
            <w:r w:rsidR="00A502CA">
              <w:rPr>
                <w:noProof/>
                <w:webHidden/>
              </w:rPr>
            </w:r>
            <w:r w:rsidR="00A502CA">
              <w:rPr>
                <w:noProof/>
                <w:webHidden/>
              </w:rPr>
              <w:fldChar w:fldCharType="separate"/>
            </w:r>
            <w:r>
              <w:rPr>
                <w:noProof/>
                <w:webHidden/>
              </w:rPr>
              <w:t>10</w:t>
            </w:r>
            <w:r w:rsidR="00A502CA">
              <w:rPr>
                <w:noProof/>
                <w:webHidden/>
              </w:rPr>
              <w:fldChar w:fldCharType="end"/>
            </w:r>
          </w:hyperlink>
        </w:p>
        <w:p w14:paraId="76FE5B04" w14:textId="4CBE3876"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593" w:history="1">
            <w:r w:rsidR="00A502CA" w:rsidRPr="00285BBF">
              <w:rPr>
                <w:rStyle w:val="Hyperlink"/>
                <w:noProof/>
              </w:rPr>
              <w:t>5.2</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Healthcare quality improvement ambitions</w:t>
            </w:r>
            <w:r w:rsidR="00A502CA">
              <w:rPr>
                <w:noProof/>
                <w:webHidden/>
              </w:rPr>
              <w:tab/>
            </w:r>
            <w:r w:rsidR="00A502CA">
              <w:rPr>
                <w:noProof/>
                <w:webHidden/>
              </w:rPr>
              <w:fldChar w:fldCharType="begin"/>
            </w:r>
            <w:r w:rsidR="00A502CA">
              <w:rPr>
                <w:noProof/>
                <w:webHidden/>
              </w:rPr>
              <w:instrText xml:space="preserve"> PAGEREF _Toc213777593 \h </w:instrText>
            </w:r>
            <w:r w:rsidR="00A502CA">
              <w:rPr>
                <w:noProof/>
                <w:webHidden/>
              </w:rPr>
            </w:r>
            <w:r w:rsidR="00A502CA">
              <w:rPr>
                <w:noProof/>
                <w:webHidden/>
              </w:rPr>
              <w:fldChar w:fldCharType="separate"/>
            </w:r>
            <w:r>
              <w:rPr>
                <w:noProof/>
                <w:webHidden/>
              </w:rPr>
              <w:t>10</w:t>
            </w:r>
            <w:r w:rsidR="00A502CA">
              <w:rPr>
                <w:noProof/>
                <w:webHidden/>
              </w:rPr>
              <w:fldChar w:fldCharType="end"/>
            </w:r>
          </w:hyperlink>
        </w:p>
        <w:p w14:paraId="16F6A583" w14:textId="2CC3F97B" w:rsidR="00A502CA" w:rsidRDefault="006858CA">
          <w:pPr>
            <w:pStyle w:val="TOC1"/>
            <w:rPr>
              <w:rFonts w:asciiTheme="minorHAnsi" w:eastAsiaTheme="minorEastAsia" w:hAnsiTheme="minorHAnsi" w:cstheme="minorBidi"/>
              <w:noProof/>
              <w:kern w:val="2"/>
              <w:sz w:val="24"/>
              <w:szCs w:val="24"/>
              <w:lang w:eastAsia="en-GB"/>
              <w14:ligatures w14:val="standardContextual"/>
            </w:rPr>
          </w:pPr>
          <w:hyperlink w:anchor="_Toc213777594" w:history="1">
            <w:r w:rsidR="00A502CA" w:rsidRPr="00285BBF">
              <w:rPr>
                <w:rStyle w:val="Hyperlink"/>
                <w:noProof/>
              </w:rPr>
              <w:t>6</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Governance, leadership and expertise</w:t>
            </w:r>
            <w:r w:rsidR="00A502CA">
              <w:rPr>
                <w:noProof/>
                <w:webHidden/>
              </w:rPr>
              <w:tab/>
            </w:r>
            <w:r w:rsidR="00A502CA">
              <w:rPr>
                <w:noProof/>
                <w:webHidden/>
              </w:rPr>
              <w:fldChar w:fldCharType="begin"/>
            </w:r>
            <w:r w:rsidR="00A502CA">
              <w:rPr>
                <w:noProof/>
                <w:webHidden/>
              </w:rPr>
              <w:instrText xml:space="preserve"> PAGEREF _Toc213777594 \h </w:instrText>
            </w:r>
            <w:r w:rsidR="00A502CA">
              <w:rPr>
                <w:noProof/>
                <w:webHidden/>
              </w:rPr>
            </w:r>
            <w:r w:rsidR="00A502CA">
              <w:rPr>
                <w:noProof/>
                <w:webHidden/>
              </w:rPr>
              <w:fldChar w:fldCharType="separate"/>
            </w:r>
            <w:r>
              <w:rPr>
                <w:noProof/>
                <w:webHidden/>
              </w:rPr>
              <w:t>11</w:t>
            </w:r>
            <w:r w:rsidR="00A502CA">
              <w:rPr>
                <w:noProof/>
                <w:webHidden/>
              </w:rPr>
              <w:fldChar w:fldCharType="end"/>
            </w:r>
          </w:hyperlink>
        </w:p>
        <w:p w14:paraId="0F384C37" w14:textId="0546BA2B"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595" w:history="1">
            <w:r w:rsidR="00A502CA" w:rsidRPr="00285BBF">
              <w:rPr>
                <w:rStyle w:val="Hyperlink"/>
                <w:noProof/>
              </w:rPr>
              <w:t>6.1</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Governance structure</w:t>
            </w:r>
            <w:r w:rsidR="00A502CA">
              <w:rPr>
                <w:noProof/>
                <w:webHidden/>
              </w:rPr>
              <w:tab/>
            </w:r>
            <w:r w:rsidR="00A502CA">
              <w:rPr>
                <w:noProof/>
                <w:webHidden/>
              </w:rPr>
              <w:fldChar w:fldCharType="begin"/>
            </w:r>
            <w:r w:rsidR="00A502CA">
              <w:rPr>
                <w:noProof/>
                <w:webHidden/>
              </w:rPr>
              <w:instrText xml:space="preserve"> PAGEREF _Toc213777595 \h </w:instrText>
            </w:r>
            <w:r w:rsidR="00A502CA">
              <w:rPr>
                <w:noProof/>
                <w:webHidden/>
              </w:rPr>
            </w:r>
            <w:r w:rsidR="00A502CA">
              <w:rPr>
                <w:noProof/>
                <w:webHidden/>
              </w:rPr>
              <w:fldChar w:fldCharType="separate"/>
            </w:r>
            <w:r>
              <w:rPr>
                <w:noProof/>
                <w:webHidden/>
              </w:rPr>
              <w:t>11</w:t>
            </w:r>
            <w:r w:rsidR="00A502CA">
              <w:rPr>
                <w:noProof/>
                <w:webHidden/>
              </w:rPr>
              <w:fldChar w:fldCharType="end"/>
            </w:r>
          </w:hyperlink>
        </w:p>
        <w:p w14:paraId="7DD0813D" w14:textId="47A50973"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596" w:history="1">
            <w:r w:rsidR="00A502CA" w:rsidRPr="00285BBF">
              <w:rPr>
                <w:rStyle w:val="Hyperlink"/>
                <w:noProof/>
              </w:rPr>
              <w:t>6.2</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Technical team expertise</w:t>
            </w:r>
            <w:r w:rsidR="00A502CA">
              <w:rPr>
                <w:noProof/>
                <w:webHidden/>
              </w:rPr>
              <w:tab/>
            </w:r>
            <w:r w:rsidR="00A502CA">
              <w:rPr>
                <w:noProof/>
                <w:webHidden/>
              </w:rPr>
              <w:fldChar w:fldCharType="begin"/>
            </w:r>
            <w:r w:rsidR="00A502CA">
              <w:rPr>
                <w:noProof/>
                <w:webHidden/>
              </w:rPr>
              <w:instrText xml:space="preserve"> PAGEREF _Toc213777596 \h </w:instrText>
            </w:r>
            <w:r w:rsidR="00A502CA">
              <w:rPr>
                <w:noProof/>
                <w:webHidden/>
              </w:rPr>
            </w:r>
            <w:r w:rsidR="00A502CA">
              <w:rPr>
                <w:noProof/>
                <w:webHidden/>
              </w:rPr>
              <w:fldChar w:fldCharType="separate"/>
            </w:r>
            <w:r>
              <w:rPr>
                <w:noProof/>
                <w:webHidden/>
              </w:rPr>
              <w:t>12</w:t>
            </w:r>
            <w:r w:rsidR="00A502CA">
              <w:rPr>
                <w:noProof/>
                <w:webHidden/>
              </w:rPr>
              <w:fldChar w:fldCharType="end"/>
            </w:r>
          </w:hyperlink>
        </w:p>
        <w:p w14:paraId="42FB0842" w14:textId="6EB045C1" w:rsidR="00A502CA" w:rsidRDefault="006858CA">
          <w:pPr>
            <w:pStyle w:val="TOC3"/>
            <w:rPr>
              <w:rFonts w:asciiTheme="minorHAnsi" w:eastAsiaTheme="minorEastAsia" w:hAnsiTheme="minorHAnsi" w:cstheme="minorBidi"/>
              <w:noProof/>
              <w:kern w:val="2"/>
              <w:sz w:val="24"/>
              <w:szCs w:val="24"/>
              <w:lang w:eastAsia="en-GB"/>
              <w14:ligatures w14:val="standardContextual"/>
            </w:rPr>
          </w:pPr>
          <w:hyperlink w:anchor="_Toc213777597" w:history="1">
            <w:r w:rsidR="00A502CA" w:rsidRPr="00285BBF">
              <w:rPr>
                <w:rStyle w:val="Hyperlink"/>
                <w:noProof/>
              </w:rPr>
              <w:t>6.2.1</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Clinical leadership</w:t>
            </w:r>
            <w:r w:rsidR="00A502CA">
              <w:rPr>
                <w:noProof/>
                <w:webHidden/>
              </w:rPr>
              <w:tab/>
            </w:r>
            <w:r w:rsidR="00A502CA">
              <w:rPr>
                <w:noProof/>
                <w:webHidden/>
              </w:rPr>
              <w:fldChar w:fldCharType="begin"/>
            </w:r>
            <w:r w:rsidR="00A502CA">
              <w:rPr>
                <w:noProof/>
                <w:webHidden/>
              </w:rPr>
              <w:instrText xml:space="preserve"> PAGEREF _Toc213777597 \h </w:instrText>
            </w:r>
            <w:r w:rsidR="00A502CA">
              <w:rPr>
                <w:noProof/>
                <w:webHidden/>
              </w:rPr>
            </w:r>
            <w:r w:rsidR="00A502CA">
              <w:rPr>
                <w:noProof/>
                <w:webHidden/>
              </w:rPr>
              <w:fldChar w:fldCharType="separate"/>
            </w:r>
            <w:r>
              <w:rPr>
                <w:noProof/>
                <w:webHidden/>
              </w:rPr>
              <w:t>12</w:t>
            </w:r>
            <w:r w:rsidR="00A502CA">
              <w:rPr>
                <w:noProof/>
                <w:webHidden/>
              </w:rPr>
              <w:fldChar w:fldCharType="end"/>
            </w:r>
          </w:hyperlink>
        </w:p>
        <w:p w14:paraId="337892A3" w14:textId="3D012151" w:rsidR="00A502CA" w:rsidRDefault="006858CA">
          <w:pPr>
            <w:pStyle w:val="TOC3"/>
            <w:rPr>
              <w:rFonts w:asciiTheme="minorHAnsi" w:eastAsiaTheme="minorEastAsia" w:hAnsiTheme="minorHAnsi" w:cstheme="minorBidi"/>
              <w:noProof/>
              <w:kern w:val="2"/>
              <w:sz w:val="24"/>
              <w:szCs w:val="24"/>
              <w:lang w:eastAsia="en-GB"/>
              <w14:ligatures w14:val="standardContextual"/>
            </w:rPr>
          </w:pPr>
          <w:hyperlink w:anchor="_Toc213777598" w:history="1">
            <w:r w:rsidR="00A502CA" w:rsidRPr="00285BBF">
              <w:rPr>
                <w:rStyle w:val="Hyperlink"/>
                <w:noProof/>
              </w:rPr>
              <w:t>6.2.2</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Healthcare quality improvement expertise</w:t>
            </w:r>
            <w:r w:rsidR="00A502CA">
              <w:rPr>
                <w:noProof/>
                <w:webHidden/>
              </w:rPr>
              <w:tab/>
            </w:r>
            <w:r w:rsidR="00A502CA">
              <w:rPr>
                <w:noProof/>
                <w:webHidden/>
              </w:rPr>
              <w:fldChar w:fldCharType="begin"/>
            </w:r>
            <w:r w:rsidR="00A502CA">
              <w:rPr>
                <w:noProof/>
                <w:webHidden/>
              </w:rPr>
              <w:instrText xml:space="preserve"> PAGEREF _Toc213777598 \h </w:instrText>
            </w:r>
            <w:r w:rsidR="00A502CA">
              <w:rPr>
                <w:noProof/>
                <w:webHidden/>
              </w:rPr>
            </w:r>
            <w:r w:rsidR="00A502CA">
              <w:rPr>
                <w:noProof/>
                <w:webHidden/>
              </w:rPr>
              <w:fldChar w:fldCharType="separate"/>
            </w:r>
            <w:r>
              <w:rPr>
                <w:noProof/>
                <w:webHidden/>
              </w:rPr>
              <w:t>12</w:t>
            </w:r>
            <w:r w:rsidR="00A502CA">
              <w:rPr>
                <w:noProof/>
                <w:webHidden/>
              </w:rPr>
              <w:fldChar w:fldCharType="end"/>
            </w:r>
          </w:hyperlink>
        </w:p>
        <w:p w14:paraId="339E35B5" w14:textId="5C853A06" w:rsidR="00A502CA" w:rsidRDefault="006858CA">
          <w:pPr>
            <w:pStyle w:val="TOC3"/>
            <w:rPr>
              <w:rFonts w:asciiTheme="minorHAnsi" w:eastAsiaTheme="minorEastAsia" w:hAnsiTheme="minorHAnsi" w:cstheme="minorBidi"/>
              <w:noProof/>
              <w:kern w:val="2"/>
              <w:sz w:val="24"/>
              <w:szCs w:val="24"/>
              <w:lang w:eastAsia="en-GB"/>
              <w14:ligatures w14:val="standardContextual"/>
            </w:rPr>
          </w:pPr>
          <w:hyperlink w:anchor="_Toc213777599" w:history="1">
            <w:r w:rsidR="00A502CA" w:rsidRPr="00285BBF">
              <w:rPr>
                <w:rStyle w:val="Hyperlink"/>
                <w:noProof/>
              </w:rPr>
              <w:t>6.2.3</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Methodological (including statistical) expertise</w:t>
            </w:r>
            <w:r w:rsidR="00A502CA">
              <w:rPr>
                <w:noProof/>
                <w:webHidden/>
              </w:rPr>
              <w:tab/>
            </w:r>
            <w:r w:rsidR="00A502CA">
              <w:rPr>
                <w:noProof/>
                <w:webHidden/>
              </w:rPr>
              <w:fldChar w:fldCharType="begin"/>
            </w:r>
            <w:r w:rsidR="00A502CA">
              <w:rPr>
                <w:noProof/>
                <w:webHidden/>
              </w:rPr>
              <w:instrText xml:space="preserve"> PAGEREF _Toc213777599 \h </w:instrText>
            </w:r>
            <w:r w:rsidR="00A502CA">
              <w:rPr>
                <w:noProof/>
                <w:webHidden/>
              </w:rPr>
            </w:r>
            <w:r w:rsidR="00A502CA">
              <w:rPr>
                <w:noProof/>
                <w:webHidden/>
              </w:rPr>
              <w:fldChar w:fldCharType="separate"/>
            </w:r>
            <w:r>
              <w:rPr>
                <w:noProof/>
                <w:webHidden/>
              </w:rPr>
              <w:t>12</w:t>
            </w:r>
            <w:r w:rsidR="00A502CA">
              <w:rPr>
                <w:noProof/>
                <w:webHidden/>
              </w:rPr>
              <w:fldChar w:fldCharType="end"/>
            </w:r>
          </w:hyperlink>
        </w:p>
        <w:p w14:paraId="577F26F6" w14:textId="352C8FE0" w:rsidR="00A502CA" w:rsidRDefault="006858CA">
          <w:pPr>
            <w:pStyle w:val="TOC3"/>
            <w:rPr>
              <w:rFonts w:asciiTheme="minorHAnsi" w:eastAsiaTheme="minorEastAsia" w:hAnsiTheme="minorHAnsi" w:cstheme="minorBidi"/>
              <w:noProof/>
              <w:kern w:val="2"/>
              <w:sz w:val="24"/>
              <w:szCs w:val="24"/>
              <w:lang w:eastAsia="en-GB"/>
              <w14:ligatures w14:val="standardContextual"/>
            </w:rPr>
          </w:pPr>
          <w:hyperlink w:anchor="_Toc213777600" w:history="1">
            <w:r w:rsidR="00A502CA" w:rsidRPr="00285BBF">
              <w:rPr>
                <w:rStyle w:val="Hyperlink"/>
                <w:noProof/>
              </w:rPr>
              <w:t>6.2.4</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Programme and project management</w:t>
            </w:r>
            <w:r w:rsidR="00A502CA">
              <w:rPr>
                <w:noProof/>
                <w:webHidden/>
              </w:rPr>
              <w:tab/>
            </w:r>
            <w:r w:rsidR="00A502CA">
              <w:rPr>
                <w:noProof/>
                <w:webHidden/>
              </w:rPr>
              <w:fldChar w:fldCharType="begin"/>
            </w:r>
            <w:r w:rsidR="00A502CA">
              <w:rPr>
                <w:noProof/>
                <w:webHidden/>
              </w:rPr>
              <w:instrText xml:space="preserve"> PAGEREF _Toc213777600 \h </w:instrText>
            </w:r>
            <w:r w:rsidR="00A502CA">
              <w:rPr>
                <w:noProof/>
                <w:webHidden/>
              </w:rPr>
            </w:r>
            <w:r w:rsidR="00A502CA">
              <w:rPr>
                <w:noProof/>
                <w:webHidden/>
              </w:rPr>
              <w:fldChar w:fldCharType="separate"/>
            </w:r>
            <w:r>
              <w:rPr>
                <w:noProof/>
                <w:webHidden/>
              </w:rPr>
              <w:t>13</w:t>
            </w:r>
            <w:r w:rsidR="00A502CA">
              <w:rPr>
                <w:noProof/>
                <w:webHidden/>
              </w:rPr>
              <w:fldChar w:fldCharType="end"/>
            </w:r>
          </w:hyperlink>
        </w:p>
        <w:p w14:paraId="44068CC6" w14:textId="0BF81795" w:rsidR="00A502CA" w:rsidRDefault="006858CA">
          <w:pPr>
            <w:pStyle w:val="TOC3"/>
            <w:rPr>
              <w:rFonts w:asciiTheme="minorHAnsi" w:eastAsiaTheme="minorEastAsia" w:hAnsiTheme="minorHAnsi" w:cstheme="minorBidi"/>
              <w:noProof/>
              <w:kern w:val="2"/>
              <w:sz w:val="24"/>
              <w:szCs w:val="24"/>
              <w:lang w:eastAsia="en-GB"/>
              <w14:ligatures w14:val="standardContextual"/>
            </w:rPr>
          </w:pPr>
          <w:hyperlink w:anchor="_Toc213777601" w:history="1">
            <w:r w:rsidR="00A502CA" w:rsidRPr="00285BBF">
              <w:rPr>
                <w:rStyle w:val="Hyperlink"/>
                <w:noProof/>
              </w:rPr>
              <w:t>6.2.5</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Editorial expertise</w:t>
            </w:r>
            <w:r w:rsidR="00A502CA">
              <w:rPr>
                <w:noProof/>
                <w:webHidden/>
              </w:rPr>
              <w:tab/>
            </w:r>
            <w:r w:rsidR="00A502CA">
              <w:rPr>
                <w:noProof/>
                <w:webHidden/>
              </w:rPr>
              <w:fldChar w:fldCharType="begin"/>
            </w:r>
            <w:r w:rsidR="00A502CA">
              <w:rPr>
                <w:noProof/>
                <w:webHidden/>
              </w:rPr>
              <w:instrText xml:space="preserve"> PAGEREF _Toc213777601 \h </w:instrText>
            </w:r>
            <w:r w:rsidR="00A502CA">
              <w:rPr>
                <w:noProof/>
                <w:webHidden/>
              </w:rPr>
            </w:r>
            <w:r w:rsidR="00A502CA">
              <w:rPr>
                <w:noProof/>
                <w:webHidden/>
              </w:rPr>
              <w:fldChar w:fldCharType="separate"/>
            </w:r>
            <w:r>
              <w:rPr>
                <w:noProof/>
                <w:webHidden/>
              </w:rPr>
              <w:t>13</w:t>
            </w:r>
            <w:r w:rsidR="00A502CA">
              <w:rPr>
                <w:noProof/>
                <w:webHidden/>
              </w:rPr>
              <w:fldChar w:fldCharType="end"/>
            </w:r>
          </w:hyperlink>
        </w:p>
        <w:p w14:paraId="4A5366DD" w14:textId="2F94A84C" w:rsidR="00A502CA" w:rsidRDefault="006858CA">
          <w:pPr>
            <w:pStyle w:val="TOC1"/>
            <w:rPr>
              <w:rFonts w:asciiTheme="minorHAnsi" w:eastAsiaTheme="minorEastAsia" w:hAnsiTheme="minorHAnsi" w:cstheme="minorBidi"/>
              <w:noProof/>
              <w:kern w:val="2"/>
              <w:sz w:val="24"/>
              <w:szCs w:val="24"/>
              <w:lang w:eastAsia="en-GB"/>
              <w14:ligatures w14:val="standardContextual"/>
            </w:rPr>
          </w:pPr>
          <w:hyperlink w:anchor="_Toc213777602" w:history="1">
            <w:r w:rsidR="00A502CA" w:rsidRPr="00285BBF">
              <w:rPr>
                <w:rStyle w:val="Hyperlink"/>
                <w:noProof/>
              </w:rPr>
              <w:t>7</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Engaging and involving patients, carers and the public</w:t>
            </w:r>
            <w:r w:rsidR="00A502CA">
              <w:rPr>
                <w:noProof/>
                <w:webHidden/>
              </w:rPr>
              <w:tab/>
            </w:r>
            <w:r w:rsidR="00A502CA">
              <w:rPr>
                <w:noProof/>
                <w:webHidden/>
              </w:rPr>
              <w:fldChar w:fldCharType="begin"/>
            </w:r>
            <w:r w:rsidR="00A502CA">
              <w:rPr>
                <w:noProof/>
                <w:webHidden/>
              </w:rPr>
              <w:instrText xml:space="preserve"> PAGEREF _Toc213777602 \h </w:instrText>
            </w:r>
            <w:r w:rsidR="00A502CA">
              <w:rPr>
                <w:noProof/>
                <w:webHidden/>
              </w:rPr>
            </w:r>
            <w:r w:rsidR="00A502CA">
              <w:rPr>
                <w:noProof/>
                <w:webHidden/>
              </w:rPr>
              <w:fldChar w:fldCharType="separate"/>
            </w:r>
            <w:r>
              <w:rPr>
                <w:noProof/>
                <w:webHidden/>
              </w:rPr>
              <w:t>13</w:t>
            </w:r>
            <w:r w:rsidR="00A502CA">
              <w:rPr>
                <w:noProof/>
                <w:webHidden/>
              </w:rPr>
              <w:fldChar w:fldCharType="end"/>
            </w:r>
          </w:hyperlink>
        </w:p>
        <w:p w14:paraId="7C9E0B71" w14:textId="2DC3CA2A" w:rsidR="00A502CA" w:rsidRDefault="006858CA">
          <w:pPr>
            <w:pStyle w:val="TOC1"/>
            <w:rPr>
              <w:rFonts w:asciiTheme="minorHAnsi" w:eastAsiaTheme="minorEastAsia" w:hAnsiTheme="minorHAnsi" w:cstheme="minorBidi"/>
              <w:noProof/>
              <w:kern w:val="2"/>
              <w:sz w:val="24"/>
              <w:szCs w:val="24"/>
              <w:lang w:eastAsia="en-GB"/>
              <w14:ligatures w14:val="standardContextual"/>
            </w:rPr>
          </w:pPr>
          <w:hyperlink w:anchor="_Toc213777603" w:history="1">
            <w:r w:rsidR="00A502CA" w:rsidRPr="00285BBF">
              <w:rPr>
                <w:rStyle w:val="Hyperlink"/>
                <w:noProof/>
              </w:rPr>
              <w:t>8</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Equity and parity</w:t>
            </w:r>
            <w:r w:rsidR="00A502CA">
              <w:rPr>
                <w:noProof/>
                <w:webHidden/>
              </w:rPr>
              <w:tab/>
            </w:r>
            <w:r w:rsidR="00A502CA">
              <w:rPr>
                <w:noProof/>
                <w:webHidden/>
              </w:rPr>
              <w:fldChar w:fldCharType="begin"/>
            </w:r>
            <w:r w:rsidR="00A502CA">
              <w:rPr>
                <w:noProof/>
                <w:webHidden/>
              </w:rPr>
              <w:instrText xml:space="preserve"> PAGEREF _Toc213777603 \h </w:instrText>
            </w:r>
            <w:r w:rsidR="00A502CA">
              <w:rPr>
                <w:noProof/>
                <w:webHidden/>
              </w:rPr>
            </w:r>
            <w:r w:rsidR="00A502CA">
              <w:rPr>
                <w:noProof/>
                <w:webHidden/>
              </w:rPr>
              <w:fldChar w:fldCharType="separate"/>
            </w:r>
            <w:r>
              <w:rPr>
                <w:noProof/>
                <w:webHidden/>
              </w:rPr>
              <w:t>14</w:t>
            </w:r>
            <w:r w:rsidR="00A502CA">
              <w:rPr>
                <w:noProof/>
                <w:webHidden/>
              </w:rPr>
              <w:fldChar w:fldCharType="end"/>
            </w:r>
          </w:hyperlink>
        </w:p>
        <w:p w14:paraId="5629E21D" w14:textId="450923DD"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04" w:history="1">
            <w:r w:rsidR="00A502CA" w:rsidRPr="00285BBF">
              <w:rPr>
                <w:rStyle w:val="Hyperlink"/>
                <w:noProof/>
              </w:rPr>
              <w:t>8.1</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Promotion of equity and equality of care</w:t>
            </w:r>
            <w:r w:rsidR="00A502CA">
              <w:rPr>
                <w:noProof/>
                <w:webHidden/>
              </w:rPr>
              <w:tab/>
            </w:r>
            <w:r w:rsidR="00A502CA">
              <w:rPr>
                <w:noProof/>
                <w:webHidden/>
              </w:rPr>
              <w:fldChar w:fldCharType="begin"/>
            </w:r>
            <w:r w:rsidR="00A502CA">
              <w:rPr>
                <w:noProof/>
                <w:webHidden/>
              </w:rPr>
              <w:instrText xml:space="preserve"> PAGEREF _Toc213777604 \h </w:instrText>
            </w:r>
            <w:r w:rsidR="00A502CA">
              <w:rPr>
                <w:noProof/>
                <w:webHidden/>
              </w:rPr>
            </w:r>
            <w:r w:rsidR="00A502CA">
              <w:rPr>
                <w:noProof/>
                <w:webHidden/>
              </w:rPr>
              <w:fldChar w:fldCharType="separate"/>
            </w:r>
            <w:r>
              <w:rPr>
                <w:noProof/>
                <w:webHidden/>
              </w:rPr>
              <w:t>14</w:t>
            </w:r>
            <w:r w:rsidR="00A502CA">
              <w:rPr>
                <w:noProof/>
                <w:webHidden/>
              </w:rPr>
              <w:fldChar w:fldCharType="end"/>
            </w:r>
          </w:hyperlink>
        </w:p>
        <w:p w14:paraId="1FD45A50" w14:textId="35E2879D"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05" w:history="1">
            <w:r w:rsidR="00A502CA" w:rsidRPr="00285BBF">
              <w:rPr>
                <w:rStyle w:val="Hyperlink"/>
                <w:noProof/>
              </w:rPr>
              <w:t>8.2</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Parity of esteem</w:t>
            </w:r>
            <w:r w:rsidR="00A502CA">
              <w:rPr>
                <w:noProof/>
                <w:webHidden/>
              </w:rPr>
              <w:tab/>
            </w:r>
            <w:r w:rsidR="00A502CA">
              <w:rPr>
                <w:noProof/>
                <w:webHidden/>
              </w:rPr>
              <w:fldChar w:fldCharType="begin"/>
            </w:r>
            <w:r w:rsidR="00A502CA">
              <w:rPr>
                <w:noProof/>
                <w:webHidden/>
              </w:rPr>
              <w:instrText xml:space="preserve"> PAGEREF _Toc213777605 \h </w:instrText>
            </w:r>
            <w:r w:rsidR="00A502CA">
              <w:rPr>
                <w:noProof/>
                <w:webHidden/>
              </w:rPr>
            </w:r>
            <w:r w:rsidR="00A502CA">
              <w:rPr>
                <w:noProof/>
                <w:webHidden/>
              </w:rPr>
              <w:fldChar w:fldCharType="separate"/>
            </w:r>
            <w:r>
              <w:rPr>
                <w:noProof/>
                <w:webHidden/>
              </w:rPr>
              <w:t>14</w:t>
            </w:r>
            <w:r w:rsidR="00A502CA">
              <w:rPr>
                <w:noProof/>
                <w:webHidden/>
              </w:rPr>
              <w:fldChar w:fldCharType="end"/>
            </w:r>
          </w:hyperlink>
        </w:p>
        <w:p w14:paraId="3099787E" w14:textId="2BD767F4" w:rsidR="00A502CA" w:rsidRDefault="006858CA">
          <w:pPr>
            <w:pStyle w:val="TOC1"/>
            <w:rPr>
              <w:rFonts w:asciiTheme="minorHAnsi" w:eastAsiaTheme="minorEastAsia" w:hAnsiTheme="minorHAnsi" w:cstheme="minorBidi"/>
              <w:noProof/>
              <w:kern w:val="2"/>
              <w:sz w:val="24"/>
              <w:szCs w:val="24"/>
              <w:lang w:eastAsia="en-GB"/>
              <w14:ligatures w14:val="standardContextual"/>
            </w:rPr>
          </w:pPr>
          <w:hyperlink w:anchor="_Toc213777606" w:history="1">
            <w:r w:rsidR="00A502CA" w:rsidRPr="00285BBF">
              <w:rPr>
                <w:rStyle w:val="Hyperlink"/>
                <w:noProof/>
              </w:rPr>
              <w:t>9</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Dataset design, performance metrics and data management</w:t>
            </w:r>
            <w:r w:rsidR="00A502CA">
              <w:rPr>
                <w:noProof/>
                <w:webHidden/>
              </w:rPr>
              <w:tab/>
            </w:r>
            <w:r w:rsidR="00A502CA">
              <w:rPr>
                <w:noProof/>
                <w:webHidden/>
              </w:rPr>
              <w:fldChar w:fldCharType="begin"/>
            </w:r>
            <w:r w:rsidR="00A502CA">
              <w:rPr>
                <w:noProof/>
                <w:webHidden/>
              </w:rPr>
              <w:instrText xml:space="preserve"> PAGEREF _Toc213777606 \h </w:instrText>
            </w:r>
            <w:r w:rsidR="00A502CA">
              <w:rPr>
                <w:noProof/>
                <w:webHidden/>
              </w:rPr>
            </w:r>
            <w:r w:rsidR="00A502CA">
              <w:rPr>
                <w:noProof/>
                <w:webHidden/>
              </w:rPr>
              <w:fldChar w:fldCharType="separate"/>
            </w:r>
            <w:r>
              <w:rPr>
                <w:noProof/>
                <w:webHidden/>
              </w:rPr>
              <w:t>14</w:t>
            </w:r>
            <w:r w:rsidR="00A502CA">
              <w:rPr>
                <w:noProof/>
                <w:webHidden/>
              </w:rPr>
              <w:fldChar w:fldCharType="end"/>
            </w:r>
          </w:hyperlink>
        </w:p>
        <w:p w14:paraId="0AB053EA" w14:textId="35D1E48D"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07" w:history="1">
            <w:r w:rsidR="00A502CA" w:rsidRPr="00285BBF">
              <w:rPr>
                <w:rStyle w:val="Hyperlink"/>
                <w:noProof/>
              </w:rPr>
              <w:t>9.1</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Alignment with standards and guidelines</w:t>
            </w:r>
            <w:r w:rsidR="00A502CA">
              <w:rPr>
                <w:noProof/>
                <w:webHidden/>
              </w:rPr>
              <w:tab/>
            </w:r>
            <w:r w:rsidR="00A502CA">
              <w:rPr>
                <w:noProof/>
                <w:webHidden/>
              </w:rPr>
              <w:fldChar w:fldCharType="begin"/>
            </w:r>
            <w:r w:rsidR="00A502CA">
              <w:rPr>
                <w:noProof/>
                <w:webHidden/>
              </w:rPr>
              <w:instrText xml:space="preserve"> PAGEREF _Toc213777607 \h </w:instrText>
            </w:r>
            <w:r w:rsidR="00A502CA">
              <w:rPr>
                <w:noProof/>
                <w:webHidden/>
              </w:rPr>
            </w:r>
            <w:r w:rsidR="00A502CA">
              <w:rPr>
                <w:noProof/>
                <w:webHidden/>
              </w:rPr>
              <w:fldChar w:fldCharType="separate"/>
            </w:r>
            <w:r>
              <w:rPr>
                <w:noProof/>
                <w:webHidden/>
              </w:rPr>
              <w:t>14</w:t>
            </w:r>
            <w:r w:rsidR="00A502CA">
              <w:rPr>
                <w:noProof/>
                <w:webHidden/>
              </w:rPr>
              <w:fldChar w:fldCharType="end"/>
            </w:r>
          </w:hyperlink>
        </w:p>
        <w:p w14:paraId="298FFF31" w14:textId="7E1A17DE"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08" w:history="1">
            <w:r w:rsidR="00A502CA" w:rsidRPr="00285BBF">
              <w:rPr>
                <w:rStyle w:val="Hyperlink"/>
                <w:noProof/>
              </w:rPr>
              <w:t>9.2</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Dataset</w:t>
            </w:r>
            <w:r w:rsidR="00A502CA">
              <w:rPr>
                <w:noProof/>
                <w:webHidden/>
              </w:rPr>
              <w:tab/>
            </w:r>
            <w:r w:rsidR="00A502CA">
              <w:rPr>
                <w:noProof/>
                <w:webHidden/>
              </w:rPr>
              <w:fldChar w:fldCharType="begin"/>
            </w:r>
            <w:r w:rsidR="00A502CA">
              <w:rPr>
                <w:noProof/>
                <w:webHidden/>
              </w:rPr>
              <w:instrText xml:space="preserve"> PAGEREF _Toc213777608 \h </w:instrText>
            </w:r>
            <w:r w:rsidR="00A502CA">
              <w:rPr>
                <w:noProof/>
                <w:webHidden/>
              </w:rPr>
            </w:r>
            <w:r w:rsidR="00A502CA">
              <w:rPr>
                <w:noProof/>
                <w:webHidden/>
              </w:rPr>
              <w:fldChar w:fldCharType="separate"/>
            </w:r>
            <w:r>
              <w:rPr>
                <w:noProof/>
                <w:webHidden/>
              </w:rPr>
              <w:t>15</w:t>
            </w:r>
            <w:r w:rsidR="00A502CA">
              <w:rPr>
                <w:noProof/>
                <w:webHidden/>
              </w:rPr>
              <w:fldChar w:fldCharType="end"/>
            </w:r>
          </w:hyperlink>
        </w:p>
        <w:p w14:paraId="143DC3B6" w14:textId="45A5CD73"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09" w:history="1">
            <w:r w:rsidR="00A502CA" w:rsidRPr="00285BBF">
              <w:rPr>
                <w:rStyle w:val="Hyperlink"/>
                <w:noProof/>
              </w:rPr>
              <w:t>9.3</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Metrics</w:t>
            </w:r>
            <w:r w:rsidR="00A502CA">
              <w:rPr>
                <w:noProof/>
                <w:webHidden/>
              </w:rPr>
              <w:tab/>
            </w:r>
            <w:r w:rsidR="00A502CA">
              <w:rPr>
                <w:noProof/>
                <w:webHidden/>
              </w:rPr>
              <w:fldChar w:fldCharType="begin"/>
            </w:r>
            <w:r w:rsidR="00A502CA">
              <w:rPr>
                <w:noProof/>
                <w:webHidden/>
              </w:rPr>
              <w:instrText xml:space="preserve"> PAGEREF _Toc213777609 \h </w:instrText>
            </w:r>
            <w:r w:rsidR="00A502CA">
              <w:rPr>
                <w:noProof/>
                <w:webHidden/>
              </w:rPr>
            </w:r>
            <w:r w:rsidR="00A502CA">
              <w:rPr>
                <w:noProof/>
                <w:webHidden/>
              </w:rPr>
              <w:fldChar w:fldCharType="separate"/>
            </w:r>
            <w:r>
              <w:rPr>
                <w:noProof/>
                <w:webHidden/>
              </w:rPr>
              <w:t>15</w:t>
            </w:r>
            <w:r w:rsidR="00A502CA">
              <w:rPr>
                <w:noProof/>
                <w:webHidden/>
              </w:rPr>
              <w:fldChar w:fldCharType="end"/>
            </w:r>
          </w:hyperlink>
        </w:p>
        <w:p w14:paraId="2089C67B" w14:textId="70ABFF5C"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10" w:history="1">
            <w:r w:rsidR="00A502CA" w:rsidRPr="00285BBF">
              <w:rPr>
                <w:rStyle w:val="Hyperlink"/>
                <w:noProof/>
              </w:rPr>
              <w:t>9.4</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Participation and case ascertainment</w:t>
            </w:r>
            <w:r w:rsidR="00A502CA">
              <w:rPr>
                <w:noProof/>
                <w:webHidden/>
              </w:rPr>
              <w:tab/>
            </w:r>
            <w:r w:rsidR="00A502CA">
              <w:rPr>
                <w:noProof/>
                <w:webHidden/>
              </w:rPr>
              <w:fldChar w:fldCharType="begin"/>
            </w:r>
            <w:r w:rsidR="00A502CA">
              <w:rPr>
                <w:noProof/>
                <w:webHidden/>
              </w:rPr>
              <w:instrText xml:space="preserve"> PAGEREF _Toc213777610 \h </w:instrText>
            </w:r>
            <w:r w:rsidR="00A502CA">
              <w:rPr>
                <w:noProof/>
                <w:webHidden/>
              </w:rPr>
            </w:r>
            <w:r w:rsidR="00A502CA">
              <w:rPr>
                <w:noProof/>
                <w:webHidden/>
              </w:rPr>
              <w:fldChar w:fldCharType="separate"/>
            </w:r>
            <w:r>
              <w:rPr>
                <w:noProof/>
                <w:webHidden/>
              </w:rPr>
              <w:t>15</w:t>
            </w:r>
            <w:r w:rsidR="00A502CA">
              <w:rPr>
                <w:noProof/>
                <w:webHidden/>
              </w:rPr>
              <w:fldChar w:fldCharType="end"/>
            </w:r>
          </w:hyperlink>
        </w:p>
        <w:p w14:paraId="60901A59" w14:textId="6F78E7F6"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11" w:history="1">
            <w:r w:rsidR="00A502CA" w:rsidRPr="00285BBF">
              <w:rPr>
                <w:rStyle w:val="Hyperlink"/>
                <w:noProof/>
              </w:rPr>
              <w:t>9.5</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Data acquisition</w:t>
            </w:r>
            <w:r w:rsidR="00A502CA">
              <w:rPr>
                <w:noProof/>
                <w:webHidden/>
              </w:rPr>
              <w:tab/>
            </w:r>
            <w:r w:rsidR="00A502CA">
              <w:rPr>
                <w:noProof/>
                <w:webHidden/>
              </w:rPr>
              <w:fldChar w:fldCharType="begin"/>
            </w:r>
            <w:r w:rsidR="00A502CA">
              <w:rPr>
                <w:noProof/>
                <w:webHidden/>
              </w:rPr>
              <w:instrText xml:space="preserve"> PAGEREF _Toc213777611 \h </w:instrText>
            </w:r>
            <w:r w:rsidR="00A502CA">
              <w:rPr>
                <w:noProof/>
                <w:webHidden/>
              </w:rPr>
            </w:r>
            <w:r w:rsidR="00A502CA">
              <w:rPr>
                <w:noProof/>
                <w:webHidden/>
              </w:rPr>
              <w:fldChar w:fldCharType="separate"/>
            </w:r>
            <w:r>
              <w:rPr>
                <w:noProof/>
                <w:webHidden/>
              </w:rPr>
              <w:t>16</w:t>
            </w:r>
            <w:r w:rsidR="00A502CA">
              <w:rPr>
                <w:noProof/>
                <w:webHidden/>
              </w:rPr>
              <w:fldChar w:fldCharType="end"/>
            </w:r>
          </w:hyperlink>
        </w:p>
        <w:p w14:paraId="134FB4FB" w14:textId="005F4288" w:rsidR="00A502CA" w:rsidRDefault="006858CA">
          <w:pPr>
            <w:pStyle w:val="TOC3"/>
            <w:rPr>
              <w:rFonts w:asciiTheme="minorHAnsi" w:eastAsiaTheme="minorEastAsia" w:hAnsiTheme="minorHAnsi" w:cstheme="minorBidi"/>
              <w:noProof/>
              <w:kern w:val="2"/>
              <w:sz w:val="24"/>
              <w:szCs w:val="24"/>
              <w:lang w:eastAsia="en-GB"/>
              <w14:ligatures w14:val="standardContextual"/>
            </w:rPr>
          </w:pPr>
          <w:hyperlink w:anchor="_Toc213777612" w:history="1">
            <w:r w:rsidR="00A502CA" w:rsidRPr="00285BBF">
              <w:rPr>
                <w:rStyle w:val="Hyperlink"/>
                <w:noProof/>
              </w:rPr>
              <w:t>9.5.1</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Data sources</w:t>
            </w:r>
            <w:r w:rsidR="00A502CA">
              <w:rPr>
                <w:noProof/>
                <w:webHidden/>
              </w:rPr>
              <w:tab/>
            </w:r>
            <w:r w:rsidR="00A502CA">
              <w:rPr>
                <w:noProof/>
                <w:webHidden/>
              </w:rPr>
              <w:fldChar w:fldCharType="begin"/>
            </w:r>
            <w:r w:rsidR="00A502CA">
              <w:rPr>
                <w:noProof/>
                <w:webHidden/>
              </w:rPr>
              <w:instrText xml:space="preserve"> PAGEREF _Toc213777612 \h </w:instrText>
            </w:r>
            <w:r w:rsidR="00A502CA">
              <w:rPr>
                <w:noProof/>
                <w:webHidden/>
              </w:rPr>
            </w:r>
            <w:r w:rsidR="00A502CA">
              <w:rPr>
                <w:noProof/>
                <w:webHidden/>
              </w:rPr>
              <w:fldChar w:fldCharType="separate"/>
            </w:r>
            <w:r>
              <w:rPr>
                <w:noProof/>
                <w:webHidden/>
              </w:rPr>
              <w:t>16</w:t>
            </w:r>
            <w:r w:rsidR="00A502CA">
              <w:rPr>
                <w:noProof/>
                <w:webHidden/>
              </w:rPr>
              <w:fldChar w:fldCharType="end"/>
            </w:r>
          </w:hyperlink>
        </w:p>
        <w:p w14:paraId="73DEC331" w14:textId="51993C56" w:rsidR="00A502CA" w:rsidRDefault="006858CA">
          <w:pPr>
            <w:pStyle w:val="TOC3"/>
            <w:rPr>
              <w:rFonts w:asciiTheme="minorHAnsi" w:eastAsiaTheme="minorEastAsia" w:hAnsiTheme="minorHAnsi" w:cstheme="minorBidi"/>
              <w:noProof/>
              <w:kern w:val="2"/>
              <w:sz w:val="24"/>
              <w:szCs w:val="24"/>
              <w:lang w:eastAsia="en-GB"/>
              <w14:ligatures w14:val="standardContextual"/>
            </w:rPr>
          </w:pPr>
          <w:hyperlink w:anchor="_Toc213777613" w:history="1">
            <w:r w:rsidR="00A502CA" w:rsidRPr="00285BBF">
              <w:rPr>
                <w:rStyle w:val="Hyperlink"/>
                <w:noProof/>
              </w:rPr>
              <w:t>9.5.2</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Emerging technologies</w:t>
            </w:r>
            <w:r w:rsidR="00A502CA">
              <w:rPr>
                <w:noProof/>
                <w:webHidden/>
              </w:rPr>
              <w:tab/>
            </w:r>
            <w:r w:rsidR="00A502CA">
              <w:rPr>
                <w:noProof/>
                <w:webHidden/>
              </w:rPr>
              <w:fldChar w:fldCharType="begin"/>
            </w:r>
            <w:r w:rsidR="00A502CA">
              <w:rPr>
                <w:noProof/>
                <w:webHidden/>
              </w:rPr>
              <w:instrText xml:space="preserve"> PAGEREF _Toc213777613 \h </w:instrText>
            </w:r>
            <w:r w:rsidR="00A502CA">
              <w:rPr>
                <w:noProof/>
                <w:webHidden/>
              </w:rPr>
            </w:r>
            <w:r w:rsidR="00A502CA">
              <w:rPr>
                <w:noProof/>
                <w:webHidden/>
              </w:rPr>
              <w:fldChar w:fldCharType="separate"/>
            </w:r>
            <w:r>
              <w:rPr>
                <w:noProof/>
                <w:webHidden/>
              </w:rPr>
              <w:t>17</w:t>
            </w:r>
            <w:r w:rsidR="00A502CA">
              <w:rPr>
                <w:noProof/>
                <w:webHidden/>
              </w:rPr>
              <w:fldChar w:fldCharType="end"/>
            </w:r>
          </w:hyperlink>
        </w:p>
        <w:p w14:paraId="43F32FFA" w14:textId="4677E470"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14" w:history="1">
            <w:r w:rsidR="00A502CA" w:rsidRPr="00285BBF">
              <w:rPr>
                <w:rStyle w:val="Hyperlink"/>
                <w:noProof/>
              </w:rPr>
              <w:t>9.6</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Data quality</w:t>
            </w:r>
            <w:r w:rsidR="00A502CA">
              <w:rPr>
                <w:noProof/>
                <w:webHidden/>
              </w:rPr>
              <w:tab/>
            </w:r>
            <w:r w:rsidR="00A502CA">
              <w:rPr>
                <w:noProof/>
                <w:webHidden/>
              </w:rPr>
              <w:fldChar w:fldCharType="begin"/>
            </w:r>
            <w:r w:rsidR="00A502CA">
              <w:rPr>
                <w:noProof/>
                <w:webHidden/>
              </w:rPr>
              <w:instrText xml:space="preserve"> PAGEREF _Toc213777614 \h </w:instrText>
            </w:r>
            <w:r w:rsidR="00A502CA">
              <w:rPr>
                <w:noProof/>
                <w:webHidden/>
              </w:rPr>
            </w:r>
            <w:r w:rsidR="00A502CA">
              <w:rPr>
                <w:noProof/>
                <w:webHidden/>
              </w:rPr>
              <w:fldChar w:fldCharType="separate"/>
            </w:r>
            <w:r>
              <w:rPr>
                <w:noProof/>
                <w:webHidden/>
              </w:rPr>
              <w:t>18</w:t>
            </w:r>
            <w:r w:rsidR="00A502CA">
              <w:rPr>
                <w:noProof/>
                <w:webHidden/>
              </w:rPr>
              <w:fldChar w:fldCharType="end"/>
            </w:r>
          </w:hyperlink>
        </w:p>
        <w:p w14:paraId="6384695A" w14:textId="3619115C"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15" w:history="1">
            <w:r w:rsidR="00A502CA" w:rsidRPr="00285BBF">
              <w:rPr>
                <w:rStyle w:val="Hyperlink"/>
                <w:noProof/>
              </w:rPr>
              <w:t>9.7</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Data protection and security</w:t>
            </w:r>
            <w:r w:rsidR="00A502CA">
              <w:rPr>
                <w:noProof/>
                <w:webHidden/>
              </w:rPr>
              <w:tab/>
            </w:r>
            <w:r w:rsidR="00A502CA">
              <w:rPr>
                <w:noProof/>
                <w:webHidden/>
              </w:rPr>
              <w:fldChar w:fldCharType="begin"/>
            </w:r>
            <w:r w:rsidR="00A502CA">
              <w:rPr>
                <w:noProof/>
                <w:webHidden/>
              </w:rPr>
              <w:instrText xml:space="preserve"> PAGEREF _Toc213777615 \h </w:instrText>
            </w:r>
            <w:r w:rsidR="00A502CA">
              <w:rPr>
                <w:noProof/>
                <w:webHidden/>
              </w:rPr>
            </w:r>
            <w:r w:rsidR="00A502CA">
              <w:rPr>
                <w:noProof/>
                <w:webHidden/>
              </w:rPr>
              <w:fldChar w:fldCharType="separate"/>
            </w:r>
            <w:r>
              <w:rPr>
                <w:noProof/>
                <w:webHidden/>
              </w:rPr>
              <w:t>18</w:t>
            </w:r>
            <w:r w:rsidR="00A502CA">
              <w:rPr>
                <w:noProof/>
                <w:webHidden/>
              </w:rPr>
              <w:fldChar w:fldCharType="end"/>
            </w:r>
          </w:hyperlink>
        </w:p>
        <w:p w14:paraId="69CA923C" w14:textId="7B1A480A"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16" w:history="1">
            <w:r w:rsidR="00A502CA" w:rsidRPr="00285BBF">
              <w:rPr>
                <w:rStyle w:val="Hyperlink"/>
                <w:noProof/>
              </w:rPr>
              <w:t>9.8</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Confidentiality and consent</w:t>
            </w:r>
            <w:r w:rsidR="00A502CA">
              <w:rPr>
                <w:noProof/>
                <w:webHidden/>
              </w:rPr>
              <w:tab/>
            </w:r>
            <w:r w:rsidR="00A502CA">
              <w:rPr>
                <w:noProof/>
                <w:webHidden/>
              </w:rPr>
              <w:fldChar w:fldCharType="begin"/>
            </w:r>
            <w:r w:rsidR="00A502CA">
              <w:rPr>
                <w:noProof/>
                <w:webHidden/>
              </w:rPr>
              <w:instrText xml:space="preserve"> PAGEREF _Toc213777616 \h </w:instrText>
            </w:r>
            <w:r w:rsidR="00A502CA">
              <w:rPr>
                <w:noProof/>
                <w:webHidden/>
              </w:rPr>
            </w:r>
            <w:r w:rsidR="00A502CA">
              <w:rPr>
                <w:noProof/>
                <w:webHidden/>
              </w:rPr>
              <w:fldChar w:fldCharType="separate"/>
            </w:r>
            <w:r>
              <w:rPr>
                <w:noProof/>
                <w:webHidden/>
              </w:rPr>
              <w:t>18</w:t>
            </w:r>
            <w:r w:rsidR="00A502CA">
              <w:rPr>
                <w:noProof/>
                <w:webHidden/>
              </w:rPr>
              <w:fldChar w:fldCharType="end"/>
            </w:r>
          </w:hyperlink>
        </w:p>
        <w:p w14:paraId="1B590142" w14:textId="4E9AC865"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17" w:history="1">
            <w:r w:rsidR="00A502CA" w:rsidRPr="00285BBF">
              <w:rPr>
                <w:rStyle w:val="Hyperlink"/>
                <w:noProof/>
              </w:rPr>
              <w:t>9.9</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Data linkage and data flows</w:t>
            </w:r>
            <w:r w:rsidR="00A502CA">
              <w:rPr>
                <w:noProof/>
                <w:webHidden/>
              </w:rPr>
              <w:tab/>
            </w:r>
            <w:r w:rsidR="00A502CA">
              <w:rPr>
                <w:noProof/>
                <w:webHidden/>
              </w:rPr>
              <w:fldChar w:fldCharType="begin"/>
            </w:r>
            <w:r w:rsidR="00A502CA">
              <w:rPr>
                <w:noProof/>
                <w:webHidden/>
              </w:rPr>
              <w:instrText xml:space="preserve"> PAGEREF _Toc213777617 \h </w:instrText>
            </w:r>
            <w:r w:rsidR="00A502CA">
              <w:rPr>
                <w:noProof/>
                <w:webHidden/>
              </w:rPr>
            </w:r>
            <w:r w:rsidR="00A502CA">
              <w:rPr>
                <w:noProof/>
                <w:webHidden/>
              </w:rPr>
              <w:fldChar w:fldCharType="separate"/>
            </w:r>
            <w:r>
              <w:rPr>
                <w:noProof/>
                <w:webHidden/>
              </w:rPr>
              <w:t>19</w:t>
            </w:r>
            <w:r w:rsidR="00A502CA">
              <w:rPr>
                <w:noProof/>
                <w:webHidden/>
              </w:rPr>
              <w:fldChar w:fldCharType="end"/>
            </w:r>
          </w:hyperlink>
        </w:p>
        <w:p w14:paraId="40920550" w14:textId="05D02FCF" w:rsidR="00A502CA" w:rsidRDefault="006858CA">
          <w:pPr>
            <w:pStyle w:val="TOC1"/>
            <w:rPr>
              <w:rFonts w:asciiTheme="minorHAnsi" w:eastAsiaTheme="minorEastAsia" w:hAnsiTheme="minorHAnsi" w:cstheme="minorBidi"/>
              <w:noProof/>
              <w:kern w:val="2"/>
              <w:sz w:val="24"/>
              <w:szCs w:val="24"/>
              <w:lang w:eastAsia="en-GB"/>
              <w14:ligatures w14:val="standardContextual"/>
            </w:rPr>
          </w:pPr>
          <w:hyperlink w:anchor="_Toc213777618" w:history="1">
            <w:r w:rsidR="00A502CA" w:rsidRPr="00285BBF">
              <w:rPr>
                <w:rStyle w:val="Hyperlink"/>
                <w:noProof/>
              </w:rPr>
              <w:t>10</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Communications</w:t>
            </w:r>
            <w:r w:rsidR="00A502CA">
              <w:rPr>
                <w:noProof/>
                <w:webHidden/>
              </w:rPr>
              <w:tab/>
            </w:r>
            <w:r w:rsidR="00A502CA">
              <w:rPr>
                <w:noProof/>
                <w:webHidden/>
              </w:rPr>
              <w:fldChar w:fldCharType="begin"/>
            </w:r>
            <w:r w:rsidR="00A502CA">
              <w:rPr>
                <w:noProof/>
                <w:webHidden/>
              </w:rPr>
              <w:instrText xml:space="preserve"> PAGEREF _Toc213777618 \h </w:instrText>
            </w:r>
            <w:r w:rsidR="00A502CA">
              <w:rPr>
                <w:noProof/>
                <w:webHidden/>
              </w:rPr>
            </w:r>
            <w:r w:rsidR="00A502CA">
              <w:rPr>
                <w:noProof/>
                <w:webHidden/>
              </w:rPr>
              <w:fldChar w:fldCharType="separate"/>
            </w:r>
            <w:r>
              <w:rPr>
                <w:noProof/>
                <w:webHidden/>
              </w:rPr>
              <w:t>19</w:t>
            </w:r>
            <w:r w:rsidR="00A502CA">
              <w:rPr>
                <w:noProof/>
                <w:webHidden/>
              </w:rPr>
              <w:fldChar w:fldCharType="end"/>
            </w:r>
          </w:hyperlink>
        </w:p>
        <w:p w14:paraId="3CE29AB7" w14:textId="26FB7CC4"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19" w:history="1">
            <w:r w:rsidR="00A502CA" w:rsidRPr="00285BBF">
              <w:rPr>
                <w:rStyle w:val="Hyperlink"/>
                <w:noProof/>
              </w:rPr>
              <w:t>10.1</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Audit information webpages</w:t>
            </w:r>
            <w:r w:rsidR="00A502CA">
              <w:rPr>
                <w:noProof/>
                <w:webHidden/>
              </w:rPr>
              <w:tab/>
            </w:r>
            <w:r w:rsidR="00A502CA">
              <w:rPr>
                <w:noProof/>
                <w:webHidden/>
              </w:rPr>
              <w:fldChar w:fldCharType="begin"/>
            </w:r>
            <w:r w:rsidR="00A502CA">
              <w:rPr>
                <w:noProof/>
                <w:webHidden/>
              </w:rPr>
              <w:instrText xml:space="preserve"> PAGEREF _Toc213777619 \h </w:instrText>
            </w:r>
            <w:r w:rsidR="00A502CA">
              <w:rPr>
                <w:noProof/>
                <w:webHidden/>
              </w:rPr>
            </w:r>
            <w:r w:rsidR="00A502CA">
              <w:rPr>
                <w:noProof/>
                <w:webHidden/>
              </w:rPr>
              <w:fldChar w:fldCharType="separate"/>
            </w:r>
            <w:r>
              <w:rPr>
                <w:noProof/>
                <w:webHidden/>
              </w:rPr>
              <w:t>19</w:t>
            </w:r>
            <w:r w:rsidR="00A502CA">
              <w:rPr>
                <w:noProof/>
                <w:webHidden/>
              </w:rPr>
              <w:fldChar w:fldCharType="end"/>
            </w:r>
          </w:hyperlink>
        </w:p>
        <w:p w14:paraId="5C56315A" w14:textId="023B3811"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20" w:history="1">
            <w:r w:rsidR="00A502CA" w:rsidRPr="00285BBF">
              <w:rPr>
                <w:rStyle w:val="Hyperlink"/>
                <w:noProof/>
              </w:rPr>
              <w:t>10.2</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Accessible digital content</w:t>
            </w:r>
            <w:r w:rsidR="00A502CA">
              <w:rPr>
                <w:noProof/>
                <w:webHidden/>
              </w:rPr>
              <w:tab/>
            </w:r>
            <w:r w:rsidR="00A502CA">
              <w:rPr>
                <w:noProof/>
                <w:webHidden/>
              </w:rPr>
              <w:fldChar w:fldCharType="begin"/>
            </w:r>
            <w:r w:rsidR="00A502CA">
              <w:rPr>
                <w:noProof/>
                <w:webHidden/>
              </w:rPr>
              <w:instrText xml:space="preserve"> PAGEREF _Toc213777620 \h </w:instrText>
            </w:r>
            <w:r w:rsidR="00A502CA">
              <w:rPr>
                <w:noProof/>
                <w:webHidden/>
              </w:rPr>
            </w:r>
            <w:r w:rsidR="00A502CA">
              <w:rPr>
                <w:noProof/>
                <w:webHidden/>
              </w:rPr>
              <w:fldChar w:fldCharType="separate"/>
            </w:r>
            <w:r>
              <w:rPr>
                <w:noProof/>
                <w:webHidden/>
              </w:rPr>
              <w:t>19</w:t>
            </w:r>
            <w:r w:rsidR="00A502CA">
              <w:rPr>
                <w:noProof/>
                <w:webHidden/>
              </w:rPr>
              <w:fldChar w:fldCharType="end"/>
            </w:r>
          </w:hyperlink>
        </w:p>
        <w:p w14:paraId="71B01F7C" w14:textId="20F4D95A"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21" w:history="1">
            <w:r w:rsidR="00A502CA" w:rsidRPr="00285BBF">
              <w:rPr>
                <w:rStyle w:val="Hyperlink"/>
                <w:noProof/>
              </w:rPr>
              <w:t>10.3</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Communications plan</w:t>
            </w:r>
            <w:r w:rsidR="00A502CA">
              <w:rPr>
                <w:noProof/>
                <w:webHidden/>
              </w:rPr>
              <w:tab/>
            </w:r>
            <w:r w:rsidR="00A502CA">
              <w:rPr>
                <w:noProof/>
                <w:webHidden/>
              </w:rPr>
              <w:fldChar w:fldCharType="begin"/>
            </w:r>
            <w:r w:rsidR="00A502CA">
              <w:rPr>
                <w:noProof/>
                <w:webHidden/>
              </w:rPr>
              <w:instrText xml:space="preserve"> PAGEREF _Toc213777621 \h </w:instrText>
            </w:r>
            <w:r w:rsidR="00A502CA">
              <w:rPr>
                <w:noProof/>
                <w:webHidden/>
              </w:rPr>
            </w:r>
            <w:r w:rsidR="00A502CA">
              <w:rPr>
                <w:noProof/>
                <w:webHidden/>
              </w:rPr>
              <w:fldChar w:fldCharType="separate"/>
            </w:r>
            <w:r>
              <w:rPr>
                <w:noProof/>
                <w:webHidden/>
              </w:rPr>
              <w:t>20</w:t>
            </w:r>
            <w:r w:rsidR="00A502CA">
              <w:rPr>
                <w:noProof/>
                <w:webHidden/>
              </w:rPr>
              <w:fldChar w:fldCharType="end"/>
            </w:r>
          </w:hyperlink>
        </w:p>
        <w:p w14:paraId="0CB4D76E" w14:textId="555B7F86"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22" w:history="1">
            <w:r w:rsidR="00A502CA" w:rsidRPr="00285BBF">
              <w:rPr>
                <w:rStyle w:val="Hyperlink"/>
                <w:noProof/>
              </w:rPr>
              <w:t>10.4</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UPCARE tool</w:t>
            </w:r>
            <w:r w:rsidR="00A502CA">
              <w:rPr>
                <w:noProof/>
                <w:webHidden/>
              </w:rPr>
              <w:tab/>
            </w:r>
            <w:r w:rsidR="00A502CA">
              <w:rPr>
                <w:noProof/>
                <w:webHidden/>
              </w:rPr>
              <w:fldChar w:fldCharType="begin"/>
            </w:r>
            <w:r w:rsidR="00A502CA">
              <w:rPr>
                <w:noProof/>
                <w:webHidden/>
              </w:rPr>
              <w:instrText xml:space="preserve"> PAGEREF _Toc213777622 \h </w:instrText>
            </w:r>
            <w:r w:rsidR="00A502CA">
              <w:rPr>
                <w:noProof/>
                <w:webHidden/>
              </w:rPr>
            </w:r>
            <w:r w:rsidR="00A502CA">
              <w:rPr>
                <w:noProof/>
                <w:webHidden/>
              </w:rPr>
              <w:fldChar w:fldCharType="separate"/>
            </w:r>
            <w:r>
              <w:rPr>
                <w:noProof/>
                <w:webHidden/>
              </w:rPr>
              <w:t>20</w:t>
            </w:r>
            <w:r w:rsidR="00A502CA">
              <w:rPr>
                <w:noProof/>
                <w:webHidden/>
              </w:rPr>
              <w:fldChar w:fldCharType="end"/>
            </w:r>
          </w:hyperlink>
        </w:p>
        <w:p w14:paraId="10B94259" w14:textId="7B014DD9" w:rsidR="00A502CA" w:rsidRDefault="006858CA">
          <w:pPr>
            <w:pStyle w:val="TOC1"/>
            <w:rPr>
              <w:rFonts w:asciiTheme="minorHAnsi" w:eastAsiaTheme="minorEastAsia" w:hAnsiTheme="minorHAnsi" w:cstheme="minorBidi"/>
              <w:noProof/>
              <w:kern w:val="2"/>
              <w:sz w:val="24"/>
              <w:szCs w:val="24"/>
              <w:lang w:eastAsia="en-GB"/>
              <w14:ligatures w14:val="standardContextual"/>
            </w:rPr>
          </w:pPr>
          <w:hyperlink w:anchor="_Toc213777623" w:history="1">
            <w:r w:rsidR="00A502CA" w:rsidRPr="00285BBF">
              <w:rPr>
                <w:rStyle w:val="Hyperlink"/>
                <w:noProof/>
              </w:rPr>
              <w:t>11</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Requirements specific to contracts covering Wales and Jersey</w:t>
            </w:r>
            <w:r w:rsidR="00A502CA">
              <w:rPr>
                <w:noProof/>
                <w:webHidden/>
              </w:rPr>
              <w:tab/>
            </w:r>
            <w:r w:rsidR="00A502CA">
              <w:rPr>
                <w:noProof/>
                <w:webHidden/>
              </w:rPr>
              <w:fldChar w:fldCharType="begin"/>
            </w:r>
            <w:r w:rsidR="00A502CA">
              <w:rPr>
                <w:noProof/>
                <w:webHidden/>
              </w:rPr>
              <w:instrText xml:space="preserve"> PAGEREF _Toc213777623 \h </w:instrText>
            </w:r>
            <w:r w:rsidR="00A502CA">
              <w:rPr>
                <w:noProof/>
                <w:webHidden/>
              </w:rPr>
            </w:r>
            <w:r w:rsidR="00A502CA">
              <w:rPr>
                <w:noProof/>
                <w:webHidden/>
              </w:rPr>
              <w:fldChar w:fldCharType="separate"/>
            </w:r>
            <w:r>
              <w:rPr>
                <w:noProof/>
                <w:webHidden/>
              </w:rPr>
              <w:t>20</w:t>
            </w:r>
            <w:r w:rsidR="00A502CA">
              <w:rPr>
                <w:noProof/>
                <w:webHidden/>
              </w:rPr>
              <w:fldChar w:fldCharType="end"/>
            </w:r>
          </w:hyperlink>
        </w:p>
        <w:p w14:paraId="2E330A54" w14:textId="3D5D1701"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24" w:history="1">
            <w:r w:rsidR="00A502CA" w:rsidRPr="00285BBF">
              <w:rPr>
                <w:rStyle w:val="Hyperlink"/>
                <w:noProof/>
              </w:rPr>
              <w:t>11.1</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Welsh language provision</w:t>
            </w:r>
            <w:r w:rsidR="00A502CA">
              <w:rPr>
                <w:noProof/>
                <w:webHidden/>
              </w:rPr>
              <w:tab/>
            </w:r>
            <w:r w:rsidR="00A502CA">
              <w:rPr>
                <w:noProof/>
                <w:webHidden/>
              </w:rPr>
              <w:fldChar w:fldCharType="begin"/>
            </w:r>
            <w:r w:rsidR="00A502CA">
              <w:rPr>
                <w:noProof/>
                <w:webHidden/>
              </w:rPr>
              <w:instrText xml:space="preserve"> PAGEREF _Toc213777624 \h </w:instrText>
            </w:r>
            <w:r w:rsidR="00A502CA">
              <w:rPr>
                <w:noProof/>
                <w:webHidden/>
              </w:rPr>
            </w:r>
            <w:r w:rsidR="00A502CA">
              <w:rPr>
                <w:noProof/>
                <w:webHidden/>
              </w:rPr>
              <w:fldChar w:fldCharType="separate"/>
            </w:r>
            <w:r>
              <w:rPr>
                <w:noProof/>
                <w:webHidden/>
              </w:rPr>
              <w:t>20</w:t>
            </w:r>
            <w:r w:rsidR="00A502CA">
              <w:rPr>
                <w:noProof/>
                <w:webHidden/>
              </w:rPr>
              <w:fldChar w:fldCharType="end"/>
            </w:r>
          </w:hyperlink>
        </w:p>
        <w:p w14:paraId="7720029E" w14:textId="3FF7C74E"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25" w:history="1">
            <w:r w:rsidR="00A502CA" w:rsidRPr="00285BBF">
              <w:rPr>
                <w:rStyle w:val="Hyperlink"/>
                <w:noProof/>
              </w:rPr>
              <w:t>11.2</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Reporting requirements for Wales and Jersey</w:t>
            </w:r>
            <w:r w:rsidR="00A502CA">
              <w:rPr>
                <w:noProof/>
                <w:webHidden/>
              </w:rPr>
              <w:tab/>
            </w:r>
            <w:r w:rsidR="00A502CA">
              <w:rPr>
                <w:noProof/>
                <w:webHidden/>
              </w:rPr>
              <w:fldChar w:fldCharType="begin"/>
            </w:r>
            <w:r w:rsidR="00A502CA">
              <w:rPr>
                <w:noProof/>
                <w:webHidden/>
              </w:rPr>
              <w:instrText xml:space="preserve"> PAGEREF _Toc213777625 \h </w:instrText>
            </w:r>
            <w:r w:rsidR="00A502CA">
              <w:rPr>
                <w:noProof/>
                <w:webHidden/>
              </w:rPr>
            </w:r>
            <w:r w:rsidR="00A502CA">
              <w:rPr>
                <w:noProof/>
                <w:webHidden/>
              </w:rPr>
              <w:fldChar w:fldCharType="separate"/>
            </w:r>
            <w:r>
              <w:rPr>
                <w:noProof/>
                <w:webHidden/>
              </w:rPr>
              <w:t>21</w:t>
            </w:r>
            <w:r w:rsidR="00A502CA">
              <w:rPr>
                <w:noProof/>
                <w:webHidden/>
              </w:rPr>
              <w:fldChar w:fldCharType="end"/>
            </w:r>
          </w:hyperlink>
        </w:p>
        <w:p w14:paraId="221159E4" w14:textId="1F12FACF" w:rsidR="00A502CA" w:rsidRDefault="006858CA">
          <w:pPr>
            <w:pStyle w:val="TOC1"/>
            <w:rPr>
              <w:rFonts w:asciiTheme="minorHAnsi" w:eastAsiaTheme="minorEastAsia" w:hAnsiTheme="minorHAnsi" w:cstheme="minorBidi"/>
              <w:noProof/>
              <w:kern w:val="2"/>
              <w:sz w:val="24"/>
              <w:szCs w:val="24"/>
              <w:lang w:eastAsia="en-GB"/>
              <w14:ligatures w14:val="standardContextual"/>
            </w:rPr>
          </w:pPr>
          <w:hyperlink w:anchor="_Toc213777626" w:history="1">
            <w:r w:rsidR="00A502CA" w:rsidRPr="00285BBF">
              <w:rPr>
                <w:rStyle w:val="Hyperlink"/>
                <w:noProof/>
              </w:rPr>
              <w:t>12</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Alignment with health policy and wider initiatives</w:t>
            </w:r>
            <w:r w:rsidR="00A502CA">
              <w:rPr>
                <w:noProof/>
                <w:webHidden/>
              </w:rPr>
              <w:tab/>
            </w:r>
            <w:r w:rsidR="00A502CA">
              <w:rPr>
                <w:noProof/>
                <w:webHidden/>
              </w:rPr>
              <w:fldChar w:fldCharType="begin"/>
            </w:r>
            <w:r w:rsidR="00A502CA">
              <w:rPr>
                <w:noProof/>
                <w:webHidden/>
              </w:rPr>
              <w:instrText xml:space="preserve"> PAGEREF _Toc213777626 \h </w:instrText>
            </w:r>
            <w:r w:rsidR="00A502CA">
              <w:rPr>
                <w:noProof/>
                <w:webHidden/>
              </w:rPr>
            </w:r>
            <w:r w:rsidR="00A502CA">
              <w:rPr>
                <w:noProof/>
                <w:webHidden/>
              </w:rPr>
              <w:fldChar w:fldCharType="separate"/>
            </w:r>
            <w:r>
              <w:rPr>
                <w:noProof/>
                <w:webHidden/>
              </w:rPr>
              <w:t>21</w:t>
            </w:r>
            <w:r w:rsidR="00A502CA">
              <w:rPr>
                <w:noProof/>
                <w:webHidden/>
              </w:rPr>
              <w:fldChar w:fldCharType="end"/>
            </w:r>
          </w:hyperlink>
        </w:p>
        <w:p w14:paraId="0EB2484A" w14:textId="475B0B3F"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27" w:history="1">
            <w:r w:rsidR="00A502CA" w:rsidRPr="00285BBF">
              <w:rPr>
                <w:rStyle w:val="Hyperlink"/>
                <w:noProof/>
              </w:rPr>
              <w:t>12.1</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Incorporation in national outcomes/indicator frameworks and Quality Accounts</w:t>
            </w:r>
            <w:r w:rsidR="00A502CA">
              <w:rPr>
                <w:noProof/>
                <w:webHidden/>
              </w:rPr>
              <w:tab/>
            </w:r>
            <w:r w:rsidR="00A502CA">
              <w:rPr>
                <w:noProof/>
                <w:webHidden/>
              </w:rPr>
              <w:fldChar w:fldCharType="begin"/>
            </w:r>
            <w:r w:rsidR="00A502CA">
              <w:rPr>
                <w:noProof/>
                <w:webHidden/>
              </w:rPr>
              <w:instrText xml:space="preserve"> PAGEREF _Toc213777627 \h </w:instrText>
            </w:r>
            <w:r w:rsidR="00A502CA">
              <w:rPr>
                <w:noProof/>
                <w:webHidden/>
              </w:rPr>
            </w:r>
            <w:r w:rsidR="00A502CA">
              <w:rPr>
                <w:noProof/>
                <w:webHidden/>
              </w:rPr>
              <w:fldChar w:fldCharType="separate"/>
            </w:r>
            <w:r>
              <w:rPr>
                <w:noProof/>
                <w:webHidden/>
              </w:rPr>
              <w:t>21</w:t>
            </w:r>
            <w:r w:rsidR="00A502CA">
              <w:rPr>
                <w:noProof/>
                <w:webHidden/>
              </w:rPr>
              <w:fldChar w:fldCharType="end"/>
            </w:r>
          </w:hyperlink>
        </w:p>
        <w:p w14:paraId="688BE4CB" w14:textId="233C189B"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28" w:history="1">
            <w:r w:rsidR="00A502CA" w:rsidRPr="00285BBF">
              <w:rPr>
                <w:rStyle w:val="Hyperlink"/>
                <w:noProof/>
              </w:rPr>
              <w:t>12.2</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Synergies between the project and other wider initiatives</w:t>
            </w:r>
            <w:r w:rsidR="00A502CA">
              <w:rPr>
                <w:noProof/>
                <w:webHidden/>
              </w:rPr>
              <w:tab/>
            </w:r>
            <w:r w:rsidR="00A502CA">
              <w:rPr>
                <w:noProof/>
                <w:webHidden/>
              </w:rPr>
              <w:fldChar w:fldCharType="begin"/>
            </w:r>
            <w:r w:rsidR="00A502CA">
              <w:rPr>
                <w:noProof/>
                <w:webHidden/>
              </w:rPr>
              <w:instrText xml:space="preserve"> PAGEREF _Toc213777628 \h </w:instrText>
            </w:r>
            <w:r w:rsidR="00A502CA">
              <w:rPr>
                <w:noProof/>
                <w:webHidden/>
              </w:rPr>
            </w:r>
            <w:r w:rsidR="00A502CA">
              <w:rPr>
                <w:noProof/>
                <w:webHidden/>
              </w:rPr>
              <w:fldChar w:fldCharType="separate"/>
            </w:r>
            <w:r>
              <w:rPr>
                <w:noProof/>
                <w:webHidden/>
              </w:rPr>
              <w:t>21</w:t>
            </w:r>
            <w:r w:rsidR="00A502CA">
              <w:rPr>
                <w:noProof/>
                <w:webHidden/>
              </w:rPr>
              <w:fldChar w:fldCharType="end"/>
            </w:r>
          </w:hyperlink>
        </w:p>
        <w:p w14:paraId="53219642" w14:textId="0219D3FA"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33" w:history="1">
            <w:r w:rsidR="00A502CA" w:rsidRPr="00285BBF">
              <w:rPr>
                <w:rStyle w:val="Hyperlink"/>
                <w:noProof/>
              </w:rPr>
              <w:t>12.3</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Revalidation of professionals</w:t>
            </w:r>
            <w:r w:rsidR="00A502CA">
              <w:rPr>
                <w:noProof/>
                <w:webHidden/>
              </w:rPr>
              <w:tab/>
            </w:r>
            <w:r w:rsidR="00A502CA">
              <w:rPr>
                <w:noProof/>
                <w:webHidden/>
              </w:rPr>
              <w:fldChar w:fldCharType="begin"/>
            </w:r>
            <w:r w:rsidR="00A502CA">
              <w:rPr>
                <w:noProof/>
                <w:webHidden/>
              </w:rPr>
              <w:instrText xml:space="preserve"> PAGEREF _Toc213777633 \h </w:instrText>
            </w:r>
            <w:r w:rsidR="00A502CA">
              <w:rPr>
                <w:noProof/>
                <w:webHidden/>
              </w:rPr>
            </w:r>
            <w:r w:rsidR="00A502CA">
              <w:rPr>
                <w:noProof/>
                <w:webHidden/>
              </w:rPr>
              <w:fldChar w:fldCharType="separate"/>
            </w:r>
            <w:r>
              <w:rPr>
                <w:noProof/>
                <w:webHidden/>
              </w:rPr>
              <w:t>22</w:t>
            </w:r>
            <w:r w:rsidR="00A502CA">
              <w:rPr>
                <w:noProof/>
                <w:webHidden/>
              </w:rPr>
              <w:fldChar w:fldCharType="end"/>
            </w:r>
          </w:hyperlink>
        </w:p>
        <w:p w14:paraId="4A8E5704" w14:textId="744BC1E2"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34" w:history="1">
            <w:r w:rsidR="00A502CA" w:rsidRPr="00285BBF">
              <w:rPr>
                <w:rStyle w:val="Hyperlink"/>
                <w:noProof/>
              </w:rPr>
              <w:t>12.4</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Regulation of organisations</w:t>
            </w:r>
            <w:r w:rsidR="00A502CA">
              <w:rPr>
                <w:noProof/>
                <w:webHidden/>
              </w:rPr>
              <w:tab/>
            </w:r>
            <w:r w:rsidR="00A502CA">
              <w:rPr>
                <w:noProof/>
                <w:webHidden/>
              </w:rPr>
              <w:fldChar w:fldCharType="begin"/>
            </w:r>
            <w:r w:rsidR="00A502CA">
              <w:rPr>
                <w:noProof/>
                <w:webHidden/>
              </w:rPr>
              <w:instrText xml:space="preserve"> PAGEREF _Toc213777634 \h </w:instrText>
            </w:r>
            <w:r w:rsidR="00A502CA">
              <w:rPr>
                <w:noProof/>
                <w:webHidden/>
              </w:rPr>
            </w:r>
            <w:r w:rsidR="00A502CA">
              <w:rPr>
                <w:noProof/>
                <w:webHidden/>
              </w:rPr>
              <w:fldChar w:fldCharType="separate"/>
            </w:r>
            <w:r>
              <w:rPr>
                <w:noProof/>
                <w:webHidden/>
              </w:rPr>
              <w:t>22</w:t>
            </w:r>
            <w:r w:rsidR="00A502CA">
              <w:rPr>
                <w:noProof/>
                <w:webHidden/>
              </w:rPr>
              <w:fldChar w:fldCharType="end"/>
            </w:r>
          </w:hyperlink>
        </w:p>
        <w:p w14:paraId="51AD03A7" w14:textId="738D70F6"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35" w:history="1">
            <w:r w:rsidR="00A502CA" w:rsidRPr="00285BBF">
              <w:rPr>
                <w:rStyle w:val="Hyperlink"/>
                <w:noProof/>
              </w:rPr>
              <w:t>12.5</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International comparisons</w:t>
            </w:r>
            <w:r w:rsidR="00A502CA">
              <w:rPr>
                <w:noProof/>
                <w:webHidden/>
              </w:rPr>
              <w:tab/>
            </w:r>
            <w:r w:rsidR="00A502CA">
              <w:rPr>
                <w:noProof/>
                <w:webHidden/>
              </w:rPr>
              <w:fldChar w:fldCharType="begin"/>
            </w:r>
            <w:r w:rsidR="00A502CA">
              <w:rPr>
                <w:noProof/>
                <w:webHidden/>
              </w:rPr>
              <w:instrText xml:space="preserve"> PAGEREF _Toc213777635 \h </w:instrText>
            </w:r>
            <w:r w:rsidR="00A502CA">
              <w:rPr>
                <w:noProof/>
                <w:webHidden/>
              </w:rPr>
            </w:r>
            <w:r w:rsidR="00A502CA">
              <w:rPr>
                <w:noProof/>
                <w:webHidden/>
              </w:rPr>
              <w:fldChar w:fldCharType="separate"/>
            </w:r>
            <w:r>
              <w:rPr>
                <w:noProof/>
                <w:webHidden/>
              </w:rPr>
              <w:t>22</w:t>
            </w:r>
            <w:r w:rsidR="00A502CA">
              <w:rPr>
                <w:noProof/>
                <w:webHidden/>
              </w:rPr>
              <w:fldChar w:fldCharType="end"/>
            </w:r>
          </w:hyperlink>
        </w:p>
        <w:p w14:paraId="7571F747" w14:textId="3E0AA158"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36" w:history="1">
            <w:r w:rsidR="00A502CA" w:rsidRPr="00285BBF">
              <w:rPr>
                <w:rStyle w:val="Hyperlink"/>
                <w:noProof/>
              </w:rPr>
              <w:t>12.6</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Secondary use of NCAPOP data for public benefit including research</w:t>
            </w:r>
            <w:r w:rsidR="00A502CA">
              <w:rPr>
                <w:noProof/>
                <w:webHidden/>
              </w:rPr>
              <w:tab/>
            </w:r>
            <w:r w:rsidR="00A502CA">
              <w:rPr>
                <w:noProof/>
                <w:webHidden/>
              </w:rPr>
              <w:fldChar w:fldCharType="begin"/>
            </w:r>
            <w:r w:rsidR="00A502CA">
              <w:rPr>
                <w:noProof/>
                <w:webHidden/>
              </w:rPr>
              <w:instrText xml:space="preserve"> PAGEREF _Toc213777636 \h </w:instrText>
            </w:r>
            <w:r w:rsidR="00A502CA">
              <w:rPr>
                <w:noProof/>
                <w:webHidden/>
              </w:rPr>
            </w:r>
            <w:r w:rsidR="00A502CA">
              <w:rPr>
                <w:noProof/>
                <w:webHidden/>
              </w:rPr>
              <w:fldChar w:fldCharType="separate"/>
            </w:r>
            <w:r>
              <w:rPr>
                <w:noProof/>
                <w:webHidden/>
              </w:rPr>
              <w:t>22</w:t>
            </w:r>
            <w:r w:rsidR="00A502CA">
              <w:rPr>
                <w:noProof/>
                <w:webHidden/>
              </w:rPr>
              <w:fldChar w:fldCharType="end"/>
            </w:r>
          </w:hyperlink>
        </w:p>
        <w:p w14:paraId="3028684A" w14:textId="60754BDA" w:rsidR="00A502CA" w:rsidRDefault="006858CA">
          <w:pPr>
            <w:pStyle w:val="TOC1"/>
            <w:rPr>
              <w:rFonts w:asciiTheme="minorHAnsi" w:eastAsiaTheme="minorEastAsia" w:hAnsiTheme="minorHAnsi" w:cstheme="minorBidi"/>
              <w:noProof/>
              <w:kern w:val="2"/>
              <w:sz w:val="24"/>
              <w:szCs w:val="24"/>
              <w:lang w:eastAsia="en-GB"/>
              <w14:ligatures w14:val="standardContextual"/>
            </w:rPr>
          </w:pPr>
          <w:hyperlink w:anchor="_Toc213777637" w:history="1">
            <w:r w:rsidR="00A502CA" w:rsidRPr="00285BBF">
              <w:rPr>
                <w:rStyle w:val="Hyperlink"/>
                <w:noProof/>
              </w:rPr>
              <w:t>13</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Deliverables</w:t>
            </w:r>
            <w:r w:rsidR="00A502CA">
              <w:rPr>
                <w:noProof/>
                <w:webHidden/>
              </w:rPr>
              <w:tab/>
            </w:r>
            <w:r w:rsidR="00A502CA">
              <w:rPr>
                <w:noProof/>
                <w:webHidden/>
              </w:rPr>
              <w:fldChar w:fldCharType="begin"/>
            </w:r>
            <w:r w:rsidR="00A502CA">
              <w:rPr>
                <w:noProof/>
                <w:webHidden/>
              </w:rPr>
              <w:instrText xml:space="preserve"> PAGEREF _Toc213777637 \h </w:instrText>
            </w:r>
            <w:r w:rsidR="00A502CA">
              <w:rPr>
                <w:noProof/>
                <w:webHidden/>
              </w:rPr>
            </w:r>
            <w:r w:rsidR="00A502CA">
              <w:rPr>
                <w:noProof/>
                <w:webHidden/>
              </w:rPr>
              <w:fldChar w:fldCharType="separate"/>
            </w:r>
            <w:r>
              <w:rPr>
                <w:noProof/>
                <w:webHidden/>
              </w:rPr>
              <w:t>22</w:t>
            </w:r>
            <w:r w:rsidR="00A502CA">
              <w:rPr>
                <w:noProof/>
                <w:webHidden/>
              </w:rPr>
              <w:fldChar w:fldCharType="end"/>
            </w:r>
          </w:hyperlink>
        </w:p>
        <w:p w14:paraId="19359E5A" w14:textId="0FAD9A4E" w:rsidR="00A502CA" w:rsidRDefault="006858CA">
          <w:pPr>
            <w:pStyle w:val="TOC1"/>
            <w:rPr>
              <w:rFonts w:asciiTheme="minorHAnsi" w:eastAsiaTheme="minorEastAsia" w:hAnsiTheme="minorHAnsi" w:cstheme="minorBidi"/>
              <w:noProof/>
              <w:kern w:val="2"/>
              <w:sz w:val="24"/>
              <w:szCs w:val="24"/>
              <w:lang w:eastAsia="en-GB"/>
              <w14:ligatures w14:val="standardContextual"/>
            </w:rPr>
          </w:pPr>
          <w:hyperlink w:anchor="_Toc213777638" w:history="1">
            <w:r w:rsidR="00A502CA" w:rsidRPr="00285BBF">
              <w:rPr>
                <w:rStyle w:val="Hyperlink"/>
                <w:noProof/>
              </w:rPr>
              <w:t>14</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Other contract considerations</w:t>
            </w:r>
            <w:r w:rsidR="00A502CA">
              <w:rPr>
                <w:noProof/>
                <w:webHidden/>
              </w:rPr>
              <w:tab/>
            </w:r>
            <w:r w:rsidR="00A502CA">
              <w:rPr>
                <w:noProof/>
                <w:webHidden/>
              </w:rPr>
              <w:fldChar w:fldCharType="begin"/>
            </w:r>
            <w:r w:rsidR="00A502CA">
              <w:rPr>
                <w:noProof/>
                <w:webHidden/>
              </w:rPr>
              <w:instrText xml:space="preserve"> PAGEREF _Toc213777638 \h </w:instrText>
            </w:r>
            <w:r w:rsidR="00A502CA">
              <w:rPr>
                <w:noProof/>
                <w:webHidden/>
              </w:rPr>
            </w:r>
            <w:r w:rsidR="00A502CA">
              <w:rPr>
                <w:noProof/>
                <w:webHidden/>
              </w:rPr>
              <w:fldChar w:fldCharType="separate"/>
            </w:r>
            <w:r>
              <w:rPr>
                <w:noProof/>
                <w:webHidden/>
              </w:rPr>
              <w:t>23</w:t>
            </w:r>
            <w:r w:rsidR="00A502CA">
              <w:rPr>
                <w:noProof/>
                <w:webHidden/>
              </w:rPr>
              <w:fldChar w:fldCharType="end"/>
            </w:r>
          </w:hyperlink>
        </w:p>
        <w:p w14:paraId="39089067" w14:textId="2031F4D9"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39" w:history="1">
            <w:r w:rsidR="00A502CA" w:rsidRPr="00285BBF">
              <w:rPr>
                <w:rStyle w:val="Hyperlink"/>
                <w:noProof/>
              </w:rPr>
              <w:t>14.1</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Contract expectations</w:t>
            </w:r>
            <w:r w:rsidR="00A502CA">
              <w:rPr>
                <w:noProof/>
                <w:webHidden/>
              </w:rPr>
              <w:tab/>
            </w:r>
            <w:r w:rsidR="00A502CA">
              <w:rPr>
                <w:noProof/>
                <w:webHidden/>
              </w:rPr>
              <w:fldChar w:fldCharType="begin"/>
            </w:r>
            <w:r w:rsidR="00A502CA">
              <w:rPr>
                <w:noProof/>
                <w:webHidden/>
              </w:rPr>
              <w:instrText xml:space="preserve"> PAGEREF _Toc213777639 \h </w:instrText>
            </w:r>
            <w:r w:rsidR="00A502CA">
              <w:rPr>
                <w:noProof/>
                <w:webHidden/>
              </w:rPr>
            </w:r>
            <w:r w:rsidR="00A502CA">
              <w:rPr>
                <w:noProof/>
                <w:webHidden/>
              </w:rPr>
              <w:fldChar w:fldCharType="separate"/>
            </w:r>
            <w:r>
              <w:rPr>
                <w:noProof/>
                <w:webHidden/>
              </w:rPr>
              <w:t>23</w:t>
            </w:r>
            <w:r w:rsidR="00A502CA">
              <w:rPr>
                <w:noProof/>
                <w:webHidden/>
              </w:rPr>
              <w:fldChar w:fldCharType="end"/>
            </w:r>
          </w:hyperlink>
        </w:p>
        <w:p w14:paraId="1898919E" w14:textId="735E4BC7"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40" w:history="1">
            <w:r w:rsidR="00A502CA" w:rsidRPr="00285BBF">
              <w:rPr>
                <w:rStyle w:val="Hyperlink"/>
                <w:noProof/>
              </w:rPr>
              <w:t>14.2</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Contract transitions</w:t>
            </w:r>
            <w:r w:rsidR="00A502CA">
              <w:rPr>
                <w:noProof/>
                <w:webHidden/>
              </w:rPr>
              <w:tab/>
            </w:r>
            <w:r w:rsidR="00A502CA">
              <w:rPr>
                <w:noProof/>
                <w:webHidden/>
              </w:rPr>
              <w:fldChar w:fldCharType="begin"/>
            </w:r>
            <w:r w:rsidR="00A502CA">
              <w:rPr>
                <w:noProof/>
                <w:webHidden/>
              </w:rPr>
              <w:instrText xml:space="preserve"> PAGEREF _Toc213777640 \h </w:instrText>
            </w:r>
            <w:r w:rsidR="00A502CA">
              <w:rPr>
                <w:noProof/>
                <w:webHidden/>
              </w:rPr>
            </w:r>
            <w:r w:rsidR="00A502CA">
              <w:rPr>
                <w:noProof/>
                <w:webHidden/>
              </w:rPr>
              <w:fldChar w:fldCharType="separate"/>
            </w:r>
            <w:r>
              <w:rPr>
                <w:noProof/>
                <w:webHidden/>
              </w:rPr>
              <w:t>23</w:t>
            </w:r>
            <w:r w:rsidR="00A502CA">
              <w:rPr>
                <w:noProof/>
                <w:webHidden/>
              </w:rPr>
              <w:fldChar w:fldCharType="end"/>
            </w:r>
          </w:hyperlink>
        </w:p>
        <w:p w14:paraId="301717D7" w14:textId="12C24BC3"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41" w:history="1">
            <w:r w:rsidR="00A502CA" w:rsidRPr="00285BBF">
              <w:rPr>
                <w:rStyle w:val="Hyperlink"/>
                <w:noProof/>
              </w:rPr>
              <w:t>14.3</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Sustainability beyond national funding</w:t>
            </w:r>
            <w:r w:rsidR="00A502CA">
              <w:rPr>
                <w:noProof/>
                <w:webHidden/>
              </w:rPr>
              <w:tab/>
            </w:r>
            <w:r w:rsidR="00A502CA">
              <w:rPr>
                <w:noProof/>
                <w:webHidden/>
              </w:rPr>
              <w:fldChar w:fldCharType="begin"/>
            </w:r>
            <w:r w:rsidR="00A502CA">
              <w:rPr>
                <w:noProof/>
                <w:webHidden/>
              </w:rPr>
              <w:instrText xml:space="preserve"> PAGEREF _Toc213777641 \h </w:instrText>
            </w:r>
            <w:r w:rsidR="00A502CA">
              <w:rPr>
                <w:noProof/>
                <w:webHidden/>
              </w:rPr>
            </w:r>
            <w:r w:rsidR="00A502CA">
              <w:rPr>
                <w:noProof/>
                <w:webHidden/>
              </w:rPr>
              <w:fldChar w:fldCharType="separate"/>
            </w:r>
            <w:r>
              <w:rPr>
                <w:noProof/>
                <w:webHidden/>
              </w:rPr>
              <w:t>24</w:t>
            </w:r>
            <w:r w:rsidR="00A502CA">
              <w:rPr>
                <w:noProof/>
                <w:webHidden/>
              </w:rPr>
              <w:fldChar w:fldCharType="end"/>
            </w:r>
          </w:hyperlink>
        </w:p>
        <w:p w14:paraId="00FA6ADA" w14:textId="4A567067" w:rsidR="00A502CA" w:rsidRDefault="006858CA">
          <w:pPr>
            <w:pStyle w:val="TOC2"/>
            <w:rPr>
              <w:rFonts w:asciiTheme="minorHAnsi" w:eastAsiaTheme="minorEastAsia" w:hAnsiTheme="minorHAnsi" w:cstheme="minorBidi"/>
              <w:noProof/>
              <w:kern w:val="2"/>
              <w:sz w:val="24"/>
              <w:szCs w:val="24"/>
              <w:lang w:eastAsia="en-GB"/>
              <w14:ligatures w14:val="standardContextual"/>
            </w:rPr>
          </w:pPr>
          <w:hyperlink w:anchor="_Toc213777642" w:history="1">
            <w:r w:rsidR="00A502CA" w:rsidRPr="00285BBF">
              <w:rPr>
                <w:rStyle w:val="Hyperlink"/>
                <w:noProof/>
              </w:rPr>
              <w:t>14.4</w:t>
            </w:r>
            <w:r w:rsidR="00A502CA">
              <w:rPr>
                <w:rFonts w:asciiTheme="minorHAnsi" w:eastAsiaTheme="minorEastAsia" w:hAnsiTheme="minorHAnsi" w:cstheme="minorBidi"/>
                <w:noProof/>
                <w:kern w:val="2"/>
                <w:sz w:val="24"/>
                <w:szCs w:val="24"/>
                <w:lang w:eastAsia="en-GB"/>
                <w14:ligatures w14:val="standardContextual"/>
              </w:rPr>
              <w:tab/>
            </w:r>
            <w:r w:rsidR="00A502CA" w:rsidRPr="00285BBF">
              <w:rPr>
                <w:rStyle w:val="Hyperlink"/>
                <w:noProof/>
              </w:rPr>
              <w:t>Potential future aspirational intent</w:t>
            </w:r>
            <w:r w:rsidR="00A502CA">
              <w:rPr>
                <w:noProof/>
                <w:webHidden/>
              </w:rPr>
              <w:tab/>
            </w:r>
            <w:r w:rsidR="00A502CA">
              <w:rPr>
                <w:noProof/>
                <w:webHidden/>
              </w:rPr>
              <w:fldChar w:fldCharType="begin"/>
            </w:r>
            <w:r w:rsidR="00A502CA">
              <w:rPr>
                <w:noProof/>
                <w:webHidden/>
              </w:rPr>
              <w:instrText xml:space="preserve"> PAGEREF _Toc213777642 \h </w:instrText>
            </w:r>
            <w:r w:rsidR="00A502CA">
              <w:rPr>
                <w:noProof/>
                <w:webHidden/>
              </w:rPr>
            </w:r>
            <w:r w:rsidR="00A502CA">
              <w:rPr>
                <w:noProof/>
                <w:webHidden/>
              </w:rPr>
              <w:fldChar w:fldCharType="separate"/>
            </w:r>
            <w:r>
              <w:rPr>
                <w:noProof/>
                <w:webHidden/>
              </w:rPr>
              <w:t>24</w:t>
            </w:r>
            <w:r w:rsidR="00A502CA">
              <w:rPr>
                <w:noProof/>
                <w:webHidden/>
              </w:rPr>
              <w:fldChar w:fldCharType="end"/>
            </w:r>
          </w:hyperlink>
        </w:p>
        <w:p w14:paraId="7A966F0F" w14:textId="4C353F87" w:rsidR="004203FF" w:rsidRDefault="006858CA" w:rsidP="00987D60">
          <w:pPr>
            <w:pStyle w:val="TOC1"/>
          </w:pPr>
          <w:hyperlink w:anchor="_Toc213777646" w:history="1">
            <w:r w:rsidR="00A502CA" w:rsidRPr="00285BBF">
              <w:rPr>
                <w:rStyle w:val="Hyperlink"/>
                <w:noProof/>
              </w:rPr>
              <w:t>Appendix 1</w:t>
            </w:r>
            <w:r w:rsidR="00A502CA">
              <w:rPr>
                <w:noProof/>
                <w:webHidden/>
              </w:rPr>
              <w:tab/>
            </w:r>
            <w:r w:rsidR="00A502CA">
              <w:rPr>
                <w:noProof/>
                <w:webHidden/>
              </w:rPr>
              <w:fldChar w:fldCharType="begin"/>
            </w:r>
            <w:r w:rsidR="00A502CA">
              <w:rPr>
                <w:noProof/>
                <w:webHidden/>
              </w:rPr>
              <w:instrText xml:space="preserve"> PAGEREF _Toc213777646 \h </w:instrText>
            </w:r>
            <w:r w:rsidR="00A502CA">
              <w:rPr>
                <w:noProof/>
                <w:webHidden/>
              </w:rPr>
            </w:r>
            <w:r w:rsidR="00A502CA">
              <w:rPr>
                <w:noProof/>
                <w:webHidden/>
              </w:rPr>
              <w:fldChar w:fldCharType="separate"/>
            </w:r>
            <w:r>
              <w:rPr>
                <w:noProof/>
                <w:webHidden/>
              </w:rPr>
              <w:t>33</w:t>
            </w:r>
            <w:r w:rsidR="00A502CA">
              <w:rPr>
                <w:noProof/>
                <w:webHidden/>
              </w:rPr>
              <w:fldChar w:fldCharType="end"/>
            </w:r>
          </w:hyperlink>
          <w:r w:rsidR="00660549" w:rsidRPr="00D553A8">
            <w:fldChar w:fldCharType="end"/>
          </w:r>
        </w:p>
      </w:sdtContent>
    </w:sdt>
    <w:p w14:paraId="538FE89F" w14:textId="77777777" w:rsidR="00D553A8" w:rsidRPr="00D553A8" w:rsidRDefault="00D553A8" w:rsidP="00D553A8"/>
    <w:p w14:paraId="3A738BE8" w14:textId="77777777" w:rsidR="00D553A8" w:rsidRPr="00D553A8" w:rsidRDefault="00D553A8" w:rsidP="007648E6">
      <w:pPr>
        <w:sectPr w:rsidR="00D553A8" w:rsidRPr="00D553A8" w:rsidSect="000F17B5">
          <w:pgSz w:w="11906" w:h="16838"/>
          <w:pgMar w:top="1304" w:right="1077" w:bottom="1304" w:left="1077" w:header="567" w:footer="697" w:gutter="0"/>
          <w:cols w:space="708"/>
          <w:docGrid w:linePitch="360"/>
        </w:sectPr>
      </w:pPr>
    </w:p>
    <w:p w14:paraId="7DCB2582" w14:textId="6F0CDB18" w:rsidR="00F354C0" w:rsidRDefault="00F354C0" w:rsidP="006B1F92">
      <w:pPr>
        <w:pStyle w:val="Heading1"/>
      </w:pPr>
      <w:bookmarkStart w:id="1" w:name="_Toc213777569"/>
      <w:r w:rsidRPr="00D553A8">
        <w:lastRenderedPageBreak/>
        <w:t>Introduction</w:t>
      </w:r>
      <w:bookmarkEnd w:id="1"/>
    </w:p>
    <w:p w14:paraId="756AF172" w14:textId="77777777" w:rsidR="00F354C0" w:rsidRPr="00D553A8" w:rsidRDefault="00F354C0" w:rsidP="00311E27">
      <w:pPr>
        <w:pStyle w:val="Heading2"/>
        <w:spacing w:line="276" w:lineRule="auto"/>
      </w:pPr>
      <w:bookmarkStart w:id="2" w:name="_Toc77079435"/>
      <w:bookmarkStart w:id="3" w:name="_Toc78192672"/>
      <w:bookmarkStart w:id="4" w:name="_Toc213777570"/>
      <w:r w:rsidRPr="00D553A8">
        <w:t>HQIP and the National Clinical Audit and Patient Outcomes Programme</w:t>
      </w:r>
      <w:bookmarkEnd w:id="2"/>
      <w:bookmarkEnd w:id="3"/>
      <w:bookmarkEnd w:id="4"/>
    </w:p>
    <w:p w14:paraId="22BDA11F" w14:textId="72A978D1" w:rsidR="00F354C0" w:rsidRPr="00D553A8" w:rsidRDefault="00F354C0" w:rsidP="00311E27">
      <w:pPr>
        <w:spacing w:line="276" w:lineRule="auto"/>
      </w:pPr>
      <w:r w:rsidRPr="00D553A8">
        <w:t>The Healthcare Quality Improvement Partnership (HQIP) is led by the Academy of Medical Royal Colleges</w:t>
      </w:r>
      <w:r w:rsidR="006430DF">
        <w:t xml:space="preserve"> and</w:t>
      </w:r>
      <w:r w:rsidRPr="00D553A8">
        <w:t xml:space="preserve"> the Royal College of Nursing. Its aim is to promote quality improvement, and </w:t>
      </w:r>
      <w:proofErr w:type="gramStart"/>
      <w:r w:rsidRPr="00D553A8">
        <w:t>in particular to</w:t>
      </w:r>
      <w:proofErr w:type="gramEnd"/>
      <w:r w:rsidRPr="00D553A8">
        <w:t xml:space="preserve"> increase the impact that clinical audit and clinical outcome review programmes have on healthcare quality. HQIP holds the contract to manage and develop the National Clinical Audit and Patient Outcomes Programme (NCAPOP), comprising more than 30 </w:t>
      </w:r>
      <w:r w:rsidR="00980B61">
        <w:t xml:space="preserve">national </w:t>
      </w:r>
      <w:r w:rsidRPr="00D553A8">
        <w:t xml:space="preserve">clinical audits as well as </w:t>
      </w:r>
      <w:proofErr w:type="gramStart"/>
      <w:r w:rsidRPr="00D553A8">
        <w:t>a number of</w:t>
      </w:r>
      <w:proofErr w:type="gramEnd"/>
      <w:r w:rsidRPr="00D553A8">
        <w:t xml:space="preserve"> clinical outcome review programmes. These national projects cover care provided to people with a wide range of medical, surgical and mental health conditions. </w:t>
      </w:r>
      <w:bookmarkStart w:id="5" w:name="_Hlk216081311"/>
      <w:r w:rsidRPr="00D553A8">
        <w:t>They are funded by NHS England</w:t>
      </w:r>
      <w:r w:rsidR="00007E64">
        <w:rPr>
          <w:rStyle w:val="FootnoteReference"/>
        </w:rPr>
        <w:footnoteReference w:id="1"/>
      </w:r>
      <w:r w:rsidRPr="00D553A8">
        <w:t>, the Welsh Government and in some cases other devolved authorities.</w:t>
      </w:r>
      <w:bookmarkEnd w:id="5"/>
    </w:p>
    <w:p w14:paraId="5FDADBBB" w14:textId="77777777" w:rsidR="00F354C0" w:rsidRDefault="00F354C0" w:rsidP="00311E27">
      <w:pPr>
        <w:spacing w:line="276" w:lineRule="auto"/>
      </w:pPr>
    </w:p>
    <w:p w14:paraId="725BE1C2" w14:textId="3EB7BE99" w:rsidR="00D553A8" w:rsidRPr="00D553A8" w:rsidRDefault="00D553A8" w:rsidP="00C35309">
      <w:pPr>
        <w:pStyle w:val="Heading2"/>
      </w:pPr>
      <w:bookmarkStart w:id="7" w:name="_Toc213777571"/>
      <w:r w:rsidRPr="00D553A8">
        <w:t>Background and need for an audit</w:t>
      </w:r>
      <w:bookmarkEnd w:id="7"/>
      <w:r w:rsidRPr="00D553A8">
        <w:t xml:space="preserve"> </w:t>
      </w:r>
    </w:p>
    <w:p w14:paraId="0DD61FFA" w14:textId="77777777" w:rsidR="00014960" w:rsidRDefault="00014960" w:rsidP="00014960">
      <w:pPr>
        <w:spacing w:line="276" w:lineRule="auto"/>
      </w:pPr>
      <w:r>
        <w:t>Epilepsy is one of the most common neurological conditions affecting children and young people, with wide-ranging impacts on health, education, and quality of life. The period immediately following diagnosis is particularly important, as timely access to appropriate investigations, specialist input, and a coordinated care plan can significantly influence long-term outcomes. Despite national guidance and standards of care, evidence continues to show variation in the quality and timeliness of services, and inequalities persist between regions, population groups, and service settings.</w:t>
      </w:r>
    </w:p>
    <w:p w14:paraId="6A95620E" w14:textId="77777777" w:rsidR="00014960" w:rsidRDefault="00014960" w:rsidP="00014960">
      <w:pPr>
        <w:spacing w:line="276" w:lineRule="auto"/>
      </w:pPr>
    </w:p>
    <w:p w14:paraId="7FDFA1AD" w14:textId="4960366F" w:rsidR="00014960" w:rsidRDefault="00014960" w:rsidP="00014960">
      <w:pPr>
        <w:spacing w:line="276" w:lineRule="auto"/>
      </w:pPr>
      <w:r w:rsidRPr="00014960">
        <w:t xml:space="preserve">The National Clinical Audit of Seizures and Epilepsies in Children and Young People </w:t>
      </w:r>
      <w:r>
        <w:t xml:space="preserve">(Epilepsy audit) </w:t>
      </w:r>
      <w:proofErr w:type="gramStart"/>
      <w:r>
        <w:t>provides</w:t>
      </w:r>
      <w:proofErr w:type="gramEnd"/>
      <w:r>
        <w:t xml:space="preserve"> a national framework for understanding and improving the quality of epilepsy care. It combines clinical and organisational data collection with structured quality improvement support to enable services to benchmark performance and share learning. Successive audit cycles have demonstrated steady increases in participation and measurable progress in key areas such as access to epilepsy specialist nurses, inclusion of core components in care plans, and improved transition processes.</w:t>
      </w:r>
    </w:p>
    <w:p w14:paraId="414A6DF2" w14:textId="77777777" w:rsidR="00014960" w:rsidRDefault="00014960" w:rsidP="00014960">
      <w:pPr>
        <w:spacing w:line="276" w:lineRule="auto"/>
      </w:pPr>
    </w:p>
    <w:p w14:paraId="356D829E" w14:textId="36049A62" w:rsidR="00D553A8" w:rsidRDefault="00014960" w:rsidP="00014960">
      <w:pPr>
        <w:spacing w:line="276" w:lineRule="auto"/>
      </w:pPr>
      <w:r>
        <w:t>However, national findings also highlight continuing variation, including access to tertiary services and mental health screening. This underlines the ongoing need for a robust, evidence-based national audit to monitor care delivery, identify inequities, and support continuous improvement. The recommissioned audit will maintain national visibility of epilepsy care for children and young people and continue to provide an essential resource for clinicians, services, and families working to improve outcomes.</w:t>
      </w:r>
    </w:p>
    <w:p w14:paraId="4351BFCD" w14:textId="77777777" w:rsidR="00014960" w:rsidRPr="00D553A8" w:rsidRDefault="00014960" w:rsidP="00014960">
      <w:pPr>
        <w:spacing w:line="276" w:lineRule="auto"/>
      </w:pPr>
    </w:p>
    <w:p w14:paraId="152412DC" w14:textId="173B7668" w:rsidR="002F0FD3" w:rsidRDefault="00D553A8" w:rsidP="00311E27">
      <w:pPr>
        <w:spacing w:line="276" w:lineRule="auto"/>
      </w:pPr>
      <w:r w:rsidRPr="00D553A8">
        <w:t xml:space="preserve">Further details of the current audit can be found </w:t>
      </w:r>
      <w:bookmarkStart w:id="8" w:name="_Toc314475994"/>
      <w:r w:rsidR="00014960">
        <w:t xml:space="preserve">at </w:t>
      </w:r>
      <w:hyperlink r:id="rId10" w:history="1">
        <w:r w:rsidR="00014960" w:rsidRPr="00B841B1">
          <w:rPr>
            <w:rStyle w:val="Hyperlink"/>
            <w:rFonts w:cs="Calibri"/>
          </w:rPr>
          <w:t>https://www.rcpch.ac.uk/work-we-do/clinical-audits/epilepsy12</w:t>
        </w:r>
      </w:hyperlink>
      <w:r w:rsidR="00014960">
        <w:t xml:space="preserve"> and </w:t>
      </w:r>
      <w:hyperlink r:id="rId11" w:history="1">
        <w:r w:rsidR="00014960" w:rsidRPr="00B841B1">
          <w:rPr>
            <w:rStyle w:val="Hyperlink"/>
            <w:rFonts w:cs="Calibri"/>
          </w:rPr>
          <w:t>https://www.hqip.org.uk/a-z-of-nca/national-epilepsy-12-audit/</w:t>
        </w:r>
      </w:hyperlink>
      <w:r w:rsidR="00014960">
        <w:t>.</w:t>
      </w:r>
    </w:p>
    <w:p w14:paraId="53C112A8" w14:textId="77777777" w:rsidR="00C35309" w:rsidRPr="00D553A8" w:rsidRDefault="00C35309" w:rsidP="00311E27">
      <w:pPr>
        <w:spacing w:line="276" w:lineRule="auto"/>
      </w:pPr>
    </w:p>
    <w:p w14:paraId="23F44FC6" w14:textId="77777777" w:rsidR="00F354C0" w:rsidRDefault="00F354C0" w:rsidP="00311E27">
      <w:pPr>
        <w:pStyle w:val="Heading2"/>
        <w:spacing w:line="276" w:lineRule="auto"/>
      </w:pPr>
      <w:bookmarkStart w:id="9" w:name="_Toc77079439"/>
      <w:bookmarkStart w:id="10" w:name="_Toc78192676"/>
      <w:bookmarkStart w:id="11" w:name="_Toc213777572"/>
      <w:r w:rsidRPr="00D553A8">
        <w:t>Aims</w:t>
      </w:r>
      <w:bookmarkEnd w:id="8"/>
      <w:r w:rsidRPr="00D553A8">
        <w:t xml:space="preserve"> and objectives of </w:t>
      </w:r>
      <w:r w:rsidR="007E6497" w:rsidRPr="00D553A8">
        <w:t>a national clinical audit</w:t>
      </w:r>
      <w:bookmarkEnd w:id="9"/>
      <w:bookmarkEnd w:id="10"/>
      <w:bookmarkEnd w:id="11"/>
    </w:p>
    <w:p w14:paraId="6EA52E34" w14:textId="442F7321" w:rsidR="00F354C0" w:rsidRPr="00D553A8" w:rsidRDefault="00F354C0" w:rsidP="00311E27">
      <w:pPr>
        <w:spacing w:line="276" w:lineRule="auto"/>
        <w:rPr>
          <w:rFonts w:asciiTheme="minorHAnsi" w:hAnsiTheme="minorHAnsi"/>
        </w:rPr>
      </w:pPr>
      <w:r w:rsidRPr="00D553A8">
        <w:rPr>
          <w:rFonts w:asciiTheme="minorHAnsi" w:hAnsiTheme="minorHAnsi"/>
        </w:rPr>
        <w:t>The role of a national clinical audit is to stimulate</w:t>
      </w:r>
      <w:r w:rsidR="007F4731">
        <w:rPr>
          <w:rFonts w:asciiTheme="minorHAnsi" w:hAnsiTheme="minorHAnsi"/>
        </w:rPr>
        <w:t xml:space="preserve"> healthcare</w:t>
      </w:r>
      <w:r w:rsidRPr="00D553A8">
        <w:rPr>
          <w:rFonts w:asciiTheme="minorHAnsi" w:hAnsiTheme="minorHAnsi"/>
        </w:rPr>
        <w:t xml:space="preserve"> </w:t>
      </w:r>
      <w:r w:rsidR="00670C19" w:rsidRPr="00D553A8">
        <w:rPr>
          <w:rFonts w:asciiTheme="minorHAnsi" w:hAnsiTheme="minorHAnsi"/>
        </w:rPr>
        <w:t xml:space="preserve">quality </w:t>
      </w:r>
      <w:r w:rsidRPr="00D553A8">
        <w:rPr>
          <w:rFonts w:asciiTheme="minorHAnsi" w:hAnsiTheme="minorHAnsi"/>
        </w:rPr>
        <w:t xml:space="preserve">improvement through the provision of </w:t>
      </w:r>
      <w:r w:rsidR="00681A3F" w:rsidRPr="00D553A8">
        <w:rPr>
          <w:rFonts w:asciiTheme="minorHAnsi" w:hAnsiTheme="minorHAnsi"/>
        </w:rPr>
        <w:t>high-quality</w:t>
      </w:r>
      <w:r w:rsidRPr="00D553A8">
        <w:rPr>
          <w:rFonts w:asciiTheme="minorHAnsi" w:hAnsiTheme="minorHAnsi"/>
        </w:rPr>
        <w:t xml:space="preserve"> information on the organisation, delivery and outcomes of healthcare, together with tools and </w:t>
      </w:r>
      <w:r w:rsidRPr="00D553A8">
        <w:rPr>
          <w:rFonts w:asciiTheme="minorHAnsi" w:hAnsiTheme="minorHAnsi"/>
        </w:rPr>
        <w:lastRenderedPageBreak/>
        <w:t>support to enable healthcare providers and other audiences to make best use of this information. Outcomes are benchmarked against</w:t>
      </w:r>
      <w:r w:rsidR="00233E5F" w:rsidRPr="00D553A8">
        <w:rPr>
          <w:rFonts w:asciiTheme="minorHAnsi" w:hAnsiTheme="minorHAnsi"/>
        </w:rPr>
        <w:t xml:space="preserve"> available</w:t>
      </w:r>
      <w:r w:rsidRPr="00D553A8">
        <w:rPr>
          <w:rFonts w:asciiTheme="minorHAnsi" w:hAnsiTheme="minorHAnsi"/>
        </w:rPr>
        <w:t xml:space="preserve"> national guidance and standards e.g. quality standards from the </w:t>
      </w:r>
      <w:r w:rsidRPr="00D553A8">
        <w:t>National Institute for Health and Care Excellence</w:t>
      </w:r>
      <w:r w:rsidRPr="00D553A8">
        <w:rPr>
          <w:rFonts w:asciiTheme="minorHAnsi" w:hAnsiTheme="minorHAnsi"/>
        </w:rPr>
        <w:t xml:space="preserve"> (NICE), and those from other established professional and patient sources. Successful national audits are those where the individuals</w:t>
      </w:r>
      <w:r w:rsidR="00BB35D3" w:rsidRPr="00D553A8">
        <w:rPr>
          <w:rFonts w:asciiTheme="minorHAnsi" w:hAnsiTheme="minorHAnsi"/>
        </w:rPr>
        <w:t xml:space="preserve"> who are engaging </w:t>
      </w:r>
      <w:r w:rsidR="00083405" w:rsidRPr="00D553A8">
        <w:rPr>
          <w:rFonts w:asciiTheme="minorHAnsi" w:hAnsiTheme="minorHAnsi"/>
        </w:rPr>
        <w:t xml:space="preserve">with and </w:t>
      </w:r>
      <w:r w:rsidR="00780B57" w:rsidRPr="00D553A8">
        <w:rPr>
          <w:rFonts w:asciiTheme="minorHAnsi" w:hAnsiTheme="minorHAnsi"/>
        </w:rPr>
        <w:t>using</w:t>
      </w:r>
      <w:r w:rsidR="00083405" w:rsidRPr="00D553A8">
        <w:rPr>
          <w:rFonts w:asciiTheme="minorHAnsi" w:hAnsiTheme="minorHAnsi"/>
        </w:rPr>
        <w:t xml:space="preserve"> </w:t>
      </w:r>
      <w:r w:rsidRPr="00D553A8">
        <w:rPr>
          <w:rFonts w:asciiTheme="minorHAnsi" w:hAnsiTheme="minorHAnsi"/>
        </w:rPr>
        <w:t xml:space="preserve">the </w:t>
      </w:r>
      <w:r w:rsidR="00083405" w:rsidRPr="00D553A8">
        <w:rPr>
          <w:rFonts w:asciiTheme="minorHAnsi" w:hAnsiTheme="minorHAnsi"/>
        </w:rPr>
        <w:t xml:space="preserve">audit results </w:t>
      </w:r>
      <w:r w:rsidRPr="00D553A8">
        <w:rPr>
          <w:rFonts w:asciiTheme="minorHAnsi" w:hAnsiTheme="minorHAnsi"/>
        </w:rPr>
        <w:t xml:space="preserve">are also </w:t>
      </w:r>
      <w:r w:rsidR="00002C9F" w:rsidRPr="00D553A8">
        <w:rPr>
          <w:rFonts w:asciiTheme="minorHAnsi" w:hAnsiTheme="minorHAnsi"/>
        </w:rPr>
        <w:t>able</w:t>
      </w:r>
      <w:r w:rsidRPr="00D553A8">
        <w:rPr>
          <w:rFonts w:asciiTheme="minorHAnsi" w:hAnsiTheme="minorHAnsi"/>
        </w:rPr>
        <w:t xml:space="preserve"> to improve the system, and </w:t>
      </w:r>
      <w:r w:rsidR="00BB35D3" w:rsidRPr="00D553A8">
        <w:rPr>
          <w:rFonts w:asciiTheme="minorHAnsi" w:hAnsiTheme="minorHAnsi"/>
        </w:rPr>
        <w:t xml:space="preserve">where </w:t>
      </w:r>
      <w:r w:rsidRPr="00D553A8">
        <w:rPr>
          <w:rFonts w:asciiTheme="minorHAnsi" w:hAnsiTheme="minorHAnsi"/>
        </w:rPr>
        <w:t>there is a shared understanding of what good care looks like.</w:t>
      </w:r>
    </w:p>
    <w:p w14:paraId="51EA6179" w14:textId="77777777" w:rsidR="00F354C0" w:rsidRPr="00D553A8" w:rsidRDefault="00F354C0" w:rsidP="00311E27">
      <w:pPr>
        <w:spacing w:line="276" w:lineRule="auto"/>
      </w:pPr>
    </w:p>
    <w:p w14:paraId="27AA3E0B" w14:textId="77777777" w:rsidR="00F354C0" w:rsidRPr="00D553A8" w:rsidRDefault="00823830" w:rsidP="00311E27">
      <w:pPr>
        <w:spacing w:line="276" w:lineRule="auto"/>
        <w:rPr>
          <w:rFonts w:asciiTheme="minorHAnsi" w:hAnsiTheme="minorHAnsi"/>
        </w:rPr>
      </w:pPr>
      <w:r w:rsidRPr="00D553A8">
        <w:rPr>
          <w:rFonts w:asciiTheme="minorHAnsi" w:hAnsiTheme="minorHAnsi"/>
        </w:rPr>
        <w:t>National clinical audits are</w:t>
      </w:r>
      <w:r w:rsidR="00F354C0" w:rsidRPr="00D553A8">
        <w:rPr>
          <w:rFonts w:asciiTheme="minorHAnsi" w:hAnsiTheme="minorHAnsi"/>
        </w:rPr>
        <w:t xml:space="preserve"> expected to:</w:t>
      </w:r>
    </w:p>
    <w:p w14:paraId="491AF2BA" w14:textId="30DC4888" w:rsidR="00F354C0" w:rsidRDefault="00F354C0" w:rsidP="00640C59">
      <w:pPr>
        <w:pStyle w:val="ListParagraph"/>
        <w:numPr>
          <w:ilvl w:val="4"/>
          <w:numId w:val="2"/>
        </w:numPr>
        <w:tabs>
          <w:tab w:val="left" w:pos="1701"/>
          <w:tab w:val="left" w:pos="3261"/>
        </w:tabs>
        <w:ind w:left="714" w:hanging="357"/>
        <w:contextualSpacing w:val="0"/>
        <w:jc w:val="left"/>
        <w:rPr>
          <w:rFonts w:asciiTheme="minorHAnsi" w:hAnsiTheme="minorHAnsi"/>
        </w:rPr>
      </w:pPr>
      <w:r w:rsidRPr="00D553A8">
        <w:rPr>
          <w:rFonts w:asciiTheme="minorHAnsi" w:hAnsiTheme="minorHAnsi"/>
        </w:rPr>
        <w:t xml:space="preserve">Develop a robust, </w:t>
      </w:r>
      <w:r w:rsidR="00681A3F" w:rsidRPr="00D553A8">
        <w:rPr>
          <w:rFonts w:asciiTheme="minorHAnsi" w:hAnsiTheme="minorHAnsi"/>
        </w:rPr>
        <w:t>high-quality</w:t>
      </w:r>
      <w:r w:rsidRPr="00D553A8">
        <w:rPr>
          <w:rFonts w:asciiTheme="minorHAnsi" w:hAnsiTheme="minorHAnsi"/>
        </w:rPr>
        <w:t xml:space="preserve"> audit designed around key quality </w:t>
      </w:r>
      <w:r w:rsidR="00474E20">
        <w:rPr>
          <w:rFonts w:asciiTheme="minorHAnsi" w:hAnsiTheme="minorHAnsi"/>
        </w:rPr>
        <w:t>metric</w:t>
      </w:r>
      <w:r w:rsidRPr="00D553A8">
        <w:rPr>
          <w:rFonts w:asciiTheme="minorHAnsi" w:hAnsiTheme="minorHAnsi"/>
        </w:rPr>
        <w:t>s likely to best support local an</w:t>
      </w:r>
      <w:r w:rsidR="00394503" w:rsidRPr="00D553A8">
        <w:rPr>
          <w:rFonts w:asciiTheme="minorHAnsi" w:hAnsiTheme="minorHAnsi"/>
        </w:rPr>
        <w:t xml:space="preserve">d national </w:t>
      </w:r>
      <w:r w:rsidR="007F4731">
        <w:rPr>
          <w:rFonts w:asciiTheme="minorHAnsi" w:hAnsiTheme="minorHAnsi"/>
        </w:rPr>
        <w:t xml:space="preserve">healthcare </w:t>
      </w:r>
      <w:r w:rsidR="00394503" w:rsidRPr="00D553A8">
        <w:rPr>
          <w:rFonts w:asciiTheme="minorHAnsi" w:hAnsiTheme="minorHAnsi"/>
        </w:rPr>
        <w:t>quality improvement</w:t>
      </w:r>
    </w:p>
    <w:p w14:paraId="57F17718" w14:textId="70FA12C8" w:rsidR="003864DF" w:rsidRPr="00D553A8" w:rsidRDefault="003864DF" w:rsidP="00640C59">
      <w:pPr>
        <w:pStyle w:val="ListParagraph"/>
        <w:numPr>
          <w:ilvl w:val="4"/>
          <w:numId w:val="2"/>
        </w:numPr>
        <w:tabs>
          <w:tab w:val="left" w:pos="1701"/>
          <w:tab w:val="left" w:pos="3261"/>
        </w:tabs>
        <w:ind w:left="714" w:hanging="357"/>
        <w:contextualSpacing w:val="0"/>
        <w:jc w:val="left"/>
        <w:rPr>
          <w:rFonts w:asciiTheme="minorHAnsi" w:hAnsiTheme="minorHAnsi"/>
        </w:rPr>
      </w:pPr>
      <w:bookmarkStart w:id="12" w:name="_Hlk216081351"/>
      <w:r w:rsidRPr="003864DF">
        <w:rPr>
          <w:rFonts w:asciiTheme="minorHAnsi" w:hAnsiTheme="minorHAnsi"/>
        </w:rPr>
        <w:t>Detect, describe and help reduce unwarranted clinical variation by systematically benchmarking performance, identifying outliers, and supporting services to understand variation in outcomes, processes and experience</w:t>
      </w:r>
    </w:p>
    <w:bookmarkEnd w:id="12"/>
    <w:p w14:paraId="29DEB565" w14:textId="77777777" w:rsidR="00F354C0" w:rsidRPr="00D553A8" w:rsidRDefault="00F354C0" w:rsidP="00640C59">
      <w:pPr>
        <w:pStyle w:val="ListParagraph"/>
        <w:numPr>
          <w:ilvl w:val="4"/>
          <w:numId w:val="2"/>
        </w:numPr>
        <w:tabs>
          <w:tab w:val="left" w:pos="1701"/>
          <w:tab w:val="left" w:pos="3261"/>
        </w:tabs>
        <w:ind w:left="714" w:hanging="357"/>
        <w:contextualSpacing w:val="0"/>
        <w:jc w:val="left"/>
        <w:rPr>
          <w:rFonts w:asciiTheme="minorHAnsi" w:hAnsiTheme="minorHAnsi"/>
        </w:rPr>
      </w:pPr>
      <w:r w:rsidRPr="00D553A8">
        <w:rPr>
          <w:rFonts w:asciiTheme="minorHAnsi" w:hAnsiTheme="minorHAnsi"/>
        </w:rPr>
        <w:t>Achieve, articulate and maintain close alignment with relevant NICE national guidance and quality standards throughou</w:t>
      </w:r>
      <w:r w:rsidR="00394503" w:rsidRPr="00D553A8">
        <w:rPr>
          <w:rFonts w:asciiTheme="minorHAnsi" w:hAnsiTheme="minorHAnsi"/>
        </w:rPr>
        <w:t>t the audit, as appropriate</w:t>
      </w:r>
    </w:p>
    <w:p w14:paraId="5FE1A5C7" w14:textId="0B7166A5" w:rsidR="00F354C0" w:rsidRPr="00D553A8" w:rsidRDefault="00F354C0" w:rsidP="00640C59">
      <w:pPr>
        <w:pStyle w:val="ListParagraph"/>
        <w:numPr>
          <w:ilvl w:val="4"/>
          <w:numId w:val="2"/>
        </w:numPr>
        <w:tabs>
          <w:tab w:val="left" w:pos="1701"/>
          <w:tab w:val="left" w:pos="3261"/>
        </w:tabs>
        <w:ind w:left="714" w:hanging="357"/>
        <w:contextualSpacing w:val="0"/>
        <w:jc w:val="left"/>
        <w:rPr>
          <w:rFonts w:asciiTheme="minorHAnsi" w:hAnsiTheme="minorHAnsi"/>
        </w:rPr>
      </w:pPr>
      <w:r w:rsidRPr="00D553A8">
        <w:rPr>
          <w:rFonts w:asciiTheme="minorHAnsi" w:hAnsiTheme="minorHAnsi"/>
        </w:rPr>
        <w:t>Enable</w:t>
      </w:r>
      <w:r w:rsidR="007F4731">
        <w:rPr>
          <w:rFonts w:asciiTheme="minorHAnsi" w:hAnsiTheme="minorHAnsi"/>
        </w:rPr>
        <w:t xml:space="preserve"> healthcare</w:t>
      </w:r>
      <w:r w:rsidR="00670C19" w:rsidRPr="00D553A8">
        <w:rPr>
          <w:rFonts w:asciiTheme="minorHAnsi" w:hAnsiTheme="minorHAnsi"/>
        </w:rPr>
        <w:t xml:space="preserve"> quality</w:t>
      </w:r>
      <w:r w:rsidRPr="00D553A8">
        <w:rPr>
          <w:rFonts w:asciiTheme="minorHAnsi" w:hAnsiTheme="minorHAnsi"/>
        </w:rPr>
        <w:t xml:space="preserve"> improvement through the provision of timely, </w:t>
      </w:r>
      <w:r w:rsidR="00681A3F" w:rsidRPr="00D553A8">
        <w:rPr>
          <w:rFonts w:asciiTheme="minorHAnsi" w:hAnsiTheme="minorHAnsi"/>
        </w:rPr>
        <w:t>high-quality</w:t>
      </w:r>
      <w:r w:rsidRPr="00D553A8">
        <w:rPr>
          <w:rFonts w:asciiTheme="minorHAnsi" w:hAnsiTheme="minorHAnsi"/>
        </w:rPr>
        <w:t xml:space="preserve"> data that compares providers of healthcare, and comprises an integrated mi</w:t>
      </w:r>
      <w:r w:rsidR="00C96597" w:rsidRPr="00D553A8">
        <w:rPr>
          <w:rFonts w:asciiTheme="minorHAnsi" w:hAnsiTheme="minorHAnsi"/>
        </w:rPr>
        <w:t>xture of named Trust or Health b</w:t>
      </w:r>
      <w:r w:rsidRPr="00D553A8">
        <w:rPr>
          <w:rFonts w:asciiTheme="minorHAnsi" w:hAnsiTheme="minorHAnsi"/>
        </w:rPr>
        <w:t xml:space="preserve">oard, </w:t>
      </w:r>
      <w:r w:rsidR="00823830" w:rsidRPr="00D553A8">
        <w:rPr>
          <w:rFonts w:asciiTheme="minorHAnsi" w:hAnsiTheme="minorHAnsi"/>
        </w:rPr>
        <w:t>Integrated Care System (ICS)</w:t>
      </w:r>
      <w:r w:rsidR="00BA073F" w:rsidRPr="00D553A8">
        <w:rPr>
          <w:rFonts w:asciiTheme="minorHAnsi" w:hAnsiTheme="minorHAnsi"/>
        </w:rPr>
        <w:t>,</w:t>
      </w:r>
      <w:r w:rsidR="00823830" w:rsidRPr="00D553A8">
        <w:rPr>
          <w:rFonts w:asciiTheme="minorHAnsi" w:hAnsiTheme="minorHAnsi"/>
        </w:rPr>
        <w:t xml:space="preserve"> </w:t>
      </w:r>
      <w:r w:rsidRPr="00D553A8">
        <w:rPr>
          <w:rFonts w:asciiTheme="minorHAnsi" w:hAnsiTheme="minorHAnsi"/>
        </w:rPr>
        <w:t xml:space="preserve">commissioner, </w:t>
      </w:r>
      <w:r w:rsidR="00823830" w:rsidRPr="00D553A8">
        <w:rPr>
          <w:rFonts w:asciiTheme="minorHAnsi" w:hAnsiTheme="minorHAnsi"/>
        </w:rPr>
        <w:t>multidisciplinary team (</w:t>
      </w:r>
      <w:r w:rsidRPr="00D553A8">
        <w:rPr>
          <w:rFonts w:asciiTheme="minorHAnsi" w:hAnsiTheme="minorHAnsi"/>
        </w:rPr>
        <w:t>MDT</w:t>
      </w:r>
      <w:r w:rsidR="00823830" w:rsidRPr="00D553A8">
        <w:rPr>
          <w:rFonts w:asciiTheme="minorHAnsi" w:hAnsiTheme="minorHAnsi"/>
        </w:rPr>
        <w:t>)</w:t>
      </w:r>
      <w:r w:rsidRPr="00D553A8">
        <w:rPr>
          <w:rFonts w:asciiTheme="minorHAnsi" w:hAnsiTheme="minorHAnsi"/>
        </w:rPr>
        <w:t>, possibly consultant or clinical team leve</w:t>
      </w:r>
      <w:r w:rsidR="00394503" w:rsidRPr="00D553A8">
        <w:rPr>
          <w:rFonts w:asciiTheme="minorHAnsi" w:hAnsiTheme="minorHAnsi"/>
        </w:rPr>
        <w:t>l and other levels of reporting</w:t>
      </w:r>
    </w:p>
    <w:p w14:paraId="6EA1A512" w14:textId="275A6F8C" w:rsidR="00F354C0" w:rsidRPr="00D553A8" w:rsidRDefault="00F354C0" w:rsidP="00640C59">
      <w:pPr>
        <w:pStyle w:val="ListParagraph"/>
        <w:numPr>
          <w:ilvl w:val="4"/>
          <w:numId w:val="2"/>
        </w:numPr>
        <w:tabs>
          <w:tab w:val="left" w:pos="1701"/>
          <w:tab w:val="left" w:pos="3261"/>
        </w:tabs>
        <w:ind w:left="714" w:hanging="357"/>
        <w:contextualSpacing w:val="0"/>
        <w:jc w:val="left"/>
        <w:rPr>
          <w:rFonts w:asciiTheme="minorHAnsi" w:hAnsiTheme="minorHAnsi"/>
        </w:rPr>
      </w:pPr>
      <w:r w:rsidRPr="00D553A8">
        <w:rPr>
          <w:rFonts w:asciiTheme="minorHAnsi" w:hAnsiTheme="minorHAnsi"/>
        </w:rPr>
        <w:t>Engage</w:t>
      </w:r>
      <w:r w:rsidR="00B044E1" w:rsidRPr="00D553A8">
        <w:rPr>
          <w:rFonts w:asciiTheme="minorHAnsi" w:hAnsiTheme="minorHAnsi"/>
        </w:rPr>
        <w:t xml:space="preserve"> patients</w:t>
      </w:r>
      <w:r w:rsidRPr="00D553A8">
        <w:rPr>
          <w:rFonts w:asciiTheme="minorHAnsi" w:hAnsiTheme="minorHAnsi"/>
        </w:rPr>
        <w:t xml:space="preserve">, carers and </w:t>
      </w:r>
      <w:r w:rsidR="001C3D61">
        <w:rPr>
          <w:rFonts w:asciiTheme="minorHAnsi" w:hAnsiTheme="minorHAnsi"/>
        </w:rPr>
        <w:t>the public</w:t>
      </w:r>
      <w:r w:rsidR="001C3D61" w:rsidRPr="00D553A8">
        <w:rPr>
          <w:rFonts w:asciiTheme="minorHAnsi" w:hAnsiTheme="minorHAnsi"/>
        </w:rPr>
        <w:t xml:space="preserve"> </w:t>
      </w:r>
      <w:r w:rsidRPr="00D553A8">
        <w:rPr>
          <w:rFonts w:asciiTheme="minorHAnsi" w:hAnsiTheme="minorHAnsi"/>
        </w:rPr>
        <w:t>in a meaningful way, achieving a strong patient voice which informs and contributes to the design, functioning, out</w:t>
      </w:r>
      <w:r w:rsidR="00394503" w:rsidRPr="00D553A8">
        <w:rPr>
          <w:rFonts w:asciiTheme="minorHAnsi" w:hAnsiTheme="minorHAnsi"/>
        </w:rPr>
        <w:t>puts and direction of the audit</w:t>
      </w:r>
    </w:p>
    <w:p w14:paraId="4A46A551" w14:textId="77777777" w:rsidR="00F354C0" w:rsidRPr="00D553A8" w:rsidRDefault="00F354C0" w:rsidP="00640C59">
      <w:pPr>
        <w:pStyle w:val="ListParagraph"/>
        <w:numPr>
          <w:ilvl w:val="4"/>
          <w:numId w:val="2"/>
        </w:numPr>
        <w:tabs>
          <w:tab w:val="left" w:pos="1701"/>
          <w:tab w:val="left" w:pos="3261"/>
        </w:tabs>
        <w:ind w:left="714" w:hanging="357"/>
        <w:contextualSpacing w:val="0"/>
        <w:jc w:val="left"/>
        <w:rPr>
          <w:rFonts w:asciiTheme="minorHAnsi" w:hAnsiTheme="minorHAnsi"/>
        </w:rPr>
      </w:pPr>
      <w:r w:rsidRPr="00D553A8">
        <w:rPr>
          <w:rFonts w:asciiTheme="minorHAnsi" w:hAnsiTheme="minorHAnsi"/>
        </w:rPr>
        <w:t>Consider the value and feasibility of linking data at an individual patient level to other relevant national datasets either from the outset or in the future, and plan for these linkages from the inceptio</w:t>
      </w:r>
      <w:r w:rsidR="00394503" w:rsidRPr="00D553A8">
        <w:rPr>
          <w:rFonts w:asciiTheme="minorHAnsi" w:hAnsiTheme="minorHAnsi"/>
        </w:rPr>
        <w:t>n of the contract</w:t>
      </w:r>
    </w:p>
    <w:p w14:paraId="1340DEFC" w14:textId="77777777" w:rsidR="00F354C0" w:rsidRPr="00D553A8" w:rsidRDefault="00F354C0" w:rsidP="00640C59">
      <w:pPr>
        <w:pStyle w:val="ListParagraph"/>
        <w:numPr>
          <w:ilvl w:val="4"/>
          <w:numId w:val="2"/>
        </w:numPr>
        <w:tabs>
          <w:tab w:val="left" w:pos="1701"/>
          <w:tab w:val="left" w:pos="3261"/>
        </w:tabs>
        <w:ind w:left="714" w:hanging="357"/>
        <w:contextualSpacing w:val="0"/>
        <w:jc w:val="left"/>
        <w:rPr>
          <w:rFonts w:asciiTheme="minorHAnsi" w:hAnsiTheme="minorHAnsi"/>
        </w:rPr>
      </w:pPr>
      <w:r w:rsidRPr="00D553A8">
        <w:rPr>
          <w:rFonts w:asciiTheme="minorHAnsi" w:hAnsiTheme="minorHAnsi"/>
        </w:rPr>
        <w:t>Ensure robust methodological and statistical i</w:t>
      </w:r>
      <w:r w:rsidR="00394503" w:rsidRPr="00D553A8">
        <w:rPr>
          <w:rFonts w:asciiTheme="minorHAnsi" w:hAnsiTheme="minorHAnsi"/>
        </w:rPr>
        <w:t>nput at all stages of the audit</w:t>
      </w:r>
    </w:p>
    <w:p w14:paraId="3AB712C2" w14:textId="77777777" w:rsidR="00F354C0" w:rsidRPr="00D553A8" w:rsidRDefault="00F354C0" w:rsidP="00640C59">
      <w:pPr>
        <w:pStyle w:val="ListParagraph"/>
        <w:numPr>
          <w:ilvl w:val="4"/>
          <w:numId w:val="2"/>
        </w:numPr>
        <w:tabs>
          <w:tab w:val="left" w:pos="1701"/>
          <w:tab w:val="left" w:pos="3261"/>
        </w:tabs>
        <w:ind w:left="714" w:hanging="357"/>
        <w:contextualSpacing w:val="0"/>
        <w:jc w:val="left"/>
        <w:rPr>
          <w:rFonts w:asciiTheme="minorHAnsi" w:hAnsiTheme="minorHAnsi"/>
        </w:rPr>
      </w:pPr>
      <w:r w:rsidRPr="00D553A8">
        <w:rPr>
          <w:rFonts w:asciiTheme="minorHAnsi" w:hAnsiTheme="minorHAnsi"/>
        </w:rPr>
        <w:t>Identify from the outset the full range of audiences for the reports and other audit outputs, and p</w:t>
      </w:r>
      <w:r w:rsidR="00394503" w:rsidRPr="00D553A8">
        <w:rPr>
          <w:rFonts w:asciiTheme="minorHAnsi" w:hAnsiTheme="minorHAnsi"/>
        </w:rPr>
        <w:t>lan and tailor them accordingly</w:t>
      </w:r>
    </w:p>
    <w:p w14:paraId="1C577292" w14:textId="147C9A2D" w:rsidR="00F354C0" w:rsidRPr="00D553A8" w:rsidRDefault="00F354C0" w:rsidP="00640C59">
      <w:pPr>
        <w:pStyle w:val="ListParagraph"/>
        <w:numPr>
          <w:ilvl w:val="4"/>
          <w:numId w:val="2"/>
        </w:numPr>
        <w:tabs>
          <w:tab w:val="left" w:pos="1701"/>
          <w:tab w:val="left" w:pos="3261"/>
        </w:tabs>
        <w:ind w:left="714" w:hanging="357"/>
        <w:contextualSpacing w:val="0"/>
        <w:jc w:val="left"/>
        <w:rPr>
          <w:rFonts w:asciiTheme="minorHAnsi" w:hAnsiTheme="minorHAnsi"/>
        </w:rPr>
      </w:pPr>
      <w:r w:rsidRPr="00D553A8">
        <w:rPr>
          <w:rFonts w:asciiTheme="minorHAnsi" w:hAnsiTheme="minorHAnsi"/>
        </w:rPr>
        <w:t xml:space="preserve">Provide audit results in a timely, accessible and meaningful manner to support </w:t>
      </w:r>
      <w:r w:rsidR="007F4731">
        <w:rPr>
          <w:rFonts w:asciiTheme="minorHAnsi" w:hAnsiTheme="minorHAnsi"/>
        </w:rPr>
        <w:t xml:space="preserve">healthcare </w:t>
      </w:r>
      <w:r w:rsidRPr="00D553A8">
        <w:rPr>
          <w:rFonts w:asciiTheme="minorHAnsi" w:hAnsiTheme="minorHAnsi"/>
        </w:rPr>
        <w:t xml:space="preserve">quality </w:t>
      </w:r>
      <w:r w:rsidR="00670C19" w:rsidRPr="00D553A8">
        <w:rPr>
          <w:rFonts w:asciiTheme="minorHAnsi" w:hAnsiTheme="minorHAnsi"/>
        </w:rPr>
        <w:t>improvement</w:t>
      </w:r>
      <w:r w:rsidRPr="00D553A8">
        <w:rPr>
          <w:rFonts w:asciiTheme="minorHAnsi" w:hAnsiTheme="minorHAnsi"/>
        </w:rPr>
        <w:t>, minimising the reporting delay and providing continual access t</w:t>
      </w:r>
      <w:r w:rsidR="00394503" w:rsidRPr="00D553A8">
        <w:rPr>
          <w:rFonts w:asciiTheme="minorHAnsi" w:hAnsiTheme="minorHAnsi"/>
        </w:rPr>
        <w:t>o each unit for their own data</w:t>
      </w:r>
    </w:p>
    <w:p w14:paraId="61D31990" w14:textId="77777777" w:rsidR="00F354C0" w:rsidRPr="00D553A8" w:rsidRDefault="00F354C0" w:rsidP="00640C59">
      <w:pPr>
        <w:pStyle w:val="ListParagraph"/>
        <w:numPr>
          <w:ilvl w:val="4"/>
          <w:numId w:val="2"/>
        </w:numPr>
        <w:tabs>
          <w:tab w:val="left" w:pos="1701"/>
          <w:tab w:val="left" w:pos="3261"/>
        </w:tabs>
        <w:ind w:left="720"/>
        <w:contextualSpacing w:val="0"/>
        <w:jc w:val="left"/>
        <w:rPr>
          <w:rFonts w:asciiTheme="minorHAnsi" w:hAnsiTheme="minorHAnsi"/>
        </w:rPr>
      </w:pPr>
      <w:r w:rsidRPr="00D553A8">
        <w:rPr>
          <w:rFonts w:asciiTheme="minorHAnsi" w:hAnsiTheme="minorHAnsi"/>
        </w:rPr>
        <w:t>Utilise strong and effective project and programme management to deliver audit output</w:t>
      </w:r>
      <w:r w:rsidR="00394503" w:rsidRPr="00D553A8">
        <w:rPr>
          <w:rFonts w:asciiTheme="minorHAnsi" w:hAnsiTheme="minorHAnsi"/>
        </w:rPr>
        <w:t>s on time and within budget</w:t>
      </w:r>
    </w:p>
    <w:p w14:paraId="52D1AD9B" w14:textId="4DFBE39B" w:rsidR="00D553A8" w:rsidRPr="00014960" w:rsidRDefault="00F354C0" w:rsidP="00640C59">
      <w:pPr>
        <w:pStyle w:val="ListParagraph"/>
        <w:numPr>
          <w:ilvl w:val="4"/>
          <w:numId w:val="2"/>
        </w:numPr>
        <w:tabs>
          <w:tab w:val="left" w:pos="1701"/>
          <w:tab w:val="left" w:pos="3261"/>
        </w:tabs>
        <w:ind w:left="720"/>
        <w:jc w:val="left"/>
        <w:rPr>
          <w:rFonts w:asciiTheme="minorHAnsi" w:hAnsiTheme="minorHAnsi"/>
        </w:rPr>
      </w:pPr>
      <w:r w:rsidRPr="00014960">
        <w:rPr>
          <w:rFonts w:asciiTheme="minorHAnsi" w:hAnsiTheme="minorHAnsi"/>
        </w:rPr>
        <w:t>Develop and maintain strong engagement with local clinicians, networks, commissioners, pa</w:t>
      </w:r>
      <w:r w:rsidR="00393357" w:rsidRPr="00014960">
        <w:rPr>
          <w:rFonts w:asciiTheme="minorHAnsi" w:hAnsiTheme="minorHAnsi"/>
        </w:rPr>
        <w:t>ti</w:t>
      </w:r>
      <w:r w:rsidRPr="00014960">
        <w:rPr>
          <w:rFonts w:asciiTheme="minorHAnsi" w:hAnsiTheme="minorHAnsi"/>
        </w:rPr>
        <w:t>ents and their families and carers and charity and community support groups to drive improvements in services</w:t>
      </w:r>
      <w:r w:rsidR="00014960" w:rsidRPr="00014960">
        <w:rPr>
          <w:rFonts w:asciiTheme="minorHAnsi" w:hAnsiTheme="minorHAnsi"/>
        </w:rPr>
        <w:t>.</w:t>
      </w:r>
    </w:p>
    <w:p w14:paraId="3FDD55D5" w14:textId="77777777" w:rsidR="009C6613" w:rsidRDefault="009C6613" w:rsidP="00D8536B">
      <w:pPr>
        <w:pStyle w:val="ListParagraph"/>
        <w:ind w:left="709" w:hanging="709"/>
        <w:contextualSpacing w:val="0"/>
        <w:jc w:val="left"/>
      </w:pPr>
    </w:p>
    <w:p w14:paraId="5F07145C" w14:textId="6E16C645" w:rsidR="00D553A8" w:rsidRPr="00D553A8" w:rsidRDefault="00D553A8" w:rsidP="00D553A8">
      <w:pPr>
        <w:pStyle w:val="Heading2"/>
        <w:spacing w:line="276" w:lineRule="auto"/>
      </w:pPr>
      <w:bookmarkStart w:id="13" w:name="_Toc213777573"/>
      <w:r w:rsidRPr="00D553A8">
        <w:t>Specification development</w:t>
      </w:r>
      <w:bookmarkEnd w:id="13"/>
    </w:p>
    <w:p w14:paraId="2DA50383" w14:textId="2689C079" w:rsidR="00D553A8" w:rsidRPr="00D553A8" w:rsidRDefault="0086171D" w:rsidP="001C04B0">
      <w:pPr>
        <w:adjustRightInd w:val="0"/>
        <w:spacing w:line="276" w:lineRule="auto"/>
        <w:rPr>
          <w:color w:val="000000"/>
        </w:rPr>
      </w:pPr>
      <w:r>
        <w:rPr>
          <w:color w:val="000000"/>
        </w:rPr>
        <w:t>T</w:t>
      </w:r>
      <w:r w:rsidR="00D553A8" w:rsidRPr="00D553A8">
        <w:rPr>
          <w:color w:val="000000"/>
        </w:rPr>
        <w:t xml:space="preserve">o develop </w:t>
      </w:r>
      <w:r w:rsidR="001C04B0">
        <w:rPr>
          <w:color w:val="000000"/>
        </w:rPr>
        <w:t>the</w:t>
      </w:r>
      <w:r w:rsidR="00D553A8" w:rsidRPr="00D553A8">
        <w:rPr>
          <w:color w:val="000000"/>
        </w:rPr>
        <w:t xml:space="preserve"> specification, HQIP consulted with key stakeholders through a </w:t>
      </w:r>
      <w:r w:rsidR="00014960">
        <w:rPr>
          <w:color w:val="000000"/>
        </w:rPr>
        <w:t xml:space="preserve">pre-market engagement and </w:t>
      </w:r>
      <w:r w:rsidR="00D553A8" w:rsidRPr="00D553A8">
        <w:rPr>
          <w:color w:val="000000"/>
        </w:rPr>
        <w:t>specification development meeting (SDM) on</w:t>
      </w:r>
      <w:r w:rsidR="0057476D">
        <w:rPr>
          <w:color w:val="000000"/>
        </w:rPr>
        <w:t xml:space="preserve"> </w:t>
      </w:r>
      <w:r w:rsidR="00014960">
        <w:rPr>
          <w:color w:val="000000"/>
        </w:rPr>
        <w:t>29 October</w:t>
      </w:r>
      <w:r w:rsidR="00D553A8" w:rsidRPr="00D553A8">
        <w:t xml:space="preserve">. </w:t>
      </w:r>
      <w:r w:rsidR="001C04B0" w:rsidRPr="00D86DF7">
        <w:t xml:space="preserve">Children and young people were engaged with through a wide range of organisations </w:t>
      </w:r>
      <w:r w:rsidR="001C04B0">
        <w:t>as well as</w:t>
      </w:r>
      <w:r w:rsidR="001C04B0" w:rsidRPr="00D86DF7">
        <w:t xml:space="preserve"> individuals with lived experience, or </w:t>
      </w:r>
      <w:r w:rsidR="00D156F7">
        <w:t xml:space="preserve">individuals </w:t>
      </w:r>
      <w:r w:rsidR="001C04B0" w:rsidRPr="00D86DF7">
        <w:t xml:space="preserve">with extensive insight into the experiences of children, young people and their families through their work. This included a dedicated focus group held with the Youth Voices Network through Young Epilepsy, alongside discussions with organisations such as Epilepsy Action, SUDEP Action, and the Association for Young People’s Health (AYPH). </w:t>
      </w:r>
      <w:r w:rsidR="001C04B0">
        <w:t xml:space="preserve"> </w:t>
      </w:r>
      <w:r w:rsidR="001C04B0" w:rsidRPr="00D86DF7">
        <w:t>Insights and trends from these conversations, together with funder priorities, have informed the final specification.</w:t>
      </w:r>
    </w:p>
    <w:p w14:paraId="0DE57946" w14:textId="078BF795" w:rsidR="00F65EBB" w:rsidRDefault="00681A3F" w:rsidP="006B1F92">
      <w:pPr>
        <w:pStyle w:val="Heading1"/>
      </w:pPr>
      <w:bookmarkStart w:id="14" w:name="_Toc213777574"/>
      <w:bookmarkStart w:id="15" w:name="_Toc314475995"/>
      <w:bookmarkStart w:id="16" w:name="_Toc77079440"/>
      <w:bookmarkStart w:id="17" w:name="_Toc78192677"/>
      <w:r>
        <w:lastRenderedPageBreak/>
        <w:t>C</w:t>
      </w:r>
      <w:r w:rsidR="00544396">
        <w:t xml:space="preserve">ontract </w:t>
      </w:r>
      <w:r>
        <w:t>opportunity</w:t>
      </w:r>
      <w:bookmarkEnd w:id="14"/>
    </w:p>
    <w:p w14:paraId="5A378962" w14:textId="37739367" w:rsidR="00544396" w:rsidRPr="00D553A8" w:rsidRDefault="00544396" w:rsidP="00DC6B47">
      <w:pPr>
        <w:spacing w:line="276" w:lineRule="auto"/>
      </w:pPr>
      <w:r w:rsidRPr="00D553A8">
        <w:t xml:space="preserve">The contract will be delivered for </w:t>
      </w:r>
      <w:r w:rsidRPr="00B14F7C">
        <w:t>a period of three years, at a maximum total budget of up to £</w:t>
      </w:r>
      <w:r w:rsidR="00B14F7C" w:rsidRPr="00B14F7C">
        <w:t>1,262,160</w:t>
      </w:r>
      <w:r w:rsidR="00B14F7C">
        <w:t xml:space="preserve"> </w:t>
      </w:r>
      <w:r w:rsidRPr="00B14F7C">
        <w:t>GBP including VAT</w:t>
      </w:r>
      <w:r w:rsidR="000A14E4" w:rsidRPr="00B14F7C">
        <w:t xml:space="preserve"> </w:t>
      </w:r>
      <w:r w:rsidR="000D4DBF">
        <w:t>(</w:t>
      </w:r>
      <w:r w:rsidR="000A14E4">
        <w:t>a total budget of up to £</w:t>
      </w:r>
      <w:r w:rsidR="00B14F7C">
        <w:t>1,051,800</w:t>
      </w:r>
      <w:r w:rsidR="000A14E4">
        <w:t xml:space="preserve"> GBP excluding VAT</w:t>
      </w:r>
      <w:r w:rsidR="000D4DBF">
        <w:t>)</w:t>
      </w:r>
      <w:r w:rsidRPr="00D553A8">
        <w:t xml:space="preserve">. Bids exceeding </w:t>
      </w:r>
      <w:r w:rsidR="000A14E4">
        <w:t>these limits</w:t>
      </w:r>
      <w:r w:rsidRPr="00D553A8">
        <w:t xml:space="preserve"> will be rejected. There is potential to extend the contract for </w:t>
      </w:r>
      <w:r w:rsidRPr="00B14F7C">
        <w:t>up to two additional years.</w:t>
      </w:r>
      <w:r w:rsidRPr="00D553A8">
        <w:t xml:space="preserve"> Any contract award will include payment linked deliverables.</w:t>
      </w:r>
    </w:p>
    <w:p w14:paraId="1F9E5DCE" w14:textId="77777777" w:rsidR="00544396" w:rsidRPr="001C04B0" w:rsidRDefault="00544396" w:rsidP="00DC6B47">
      <w:pPr>
        <w:spacing w:line="276" w:lineRule="auto"/>
      </w:pPr>
    </w:p>
    <w:p w14:paraId="76DF15B9" w14:textId="10C76DEA" w:rsidR="00681A3F" w:rsidRPr="00E931C2" w:rsidRDefault="00544396" w:rsidP="00DC6B47">
      <w:pPr>
        <w:spacing w:line="276" w:lineRule="auto"/>
      </w:pPr>
      <w:r w:rsidRPr="00E931C2">
        <w:t>The contract holder is responsible for all aspects of leadership, governance, stakeholder engagement, design and delivery of the specified project including scope development, data acquisition, analysis, reporting and stimulation of healthcare quality improvement.</w:t>
      </w:r>
    </w:p>
    <w:p w14:paraId="1BACD80B" w14:textId="0E285CCC" w:rsidR="00285598" w:rsidRDefault="00F65EBB" w:rsidP="006B1F92">
      <w:pPr>
        <w:pStyle w:val="Heading1"/>
      </w:pPr>
      <w:bookmarkStart w:id="18" w:name="_Toc213777575"/>
      <w:r>
        <w:t>Details</w:t>
      </w:r>
      <w:r w:rsidR="00F354C0" w:rsidRPr="00D553A8">
        <w:t xml:space="preserve"> of the </w:t>
      </w:r>
      <w:bookmarkEnd w:id="15"/>
      <w:r w:rsidR="00F354C0" w:rsidRPr="00D553A8">
        <w:t>project</w:t>
      </w:r>
      <w:bookmarkStart w:id="19" w:name="_Toc77079449"/>
      <w:bookmarkStart w:id="20" w:name="_Toc78192686"/>
      <w:bookmarkStart w:id="21" w:name="_Toc477864039"/>
      <w:bookmarkEnd w:id="16"/>
      <w:bookmarkEnd w:id="17"/>
      <w:bookmarkEnd w:id="18"/>
    </w:p>
    <w:p w14:paraId="35559D9A" w14:textId="2291FEBF" w:rsidR="00480209" w:rsidRDefault="0001063A" w:rsidP="00480209">
      <w:pPr>
        <w:pStyle w:val="Heading2"/>
        <w:spacing w:line="276" w:lineRule="auto"/>
      </w:pPr>
      <w:bookmarkStart w:id="22" w:name="_Toc213777576"/>
      <w:r>
        <w:t>I</w:t>
      </w:r>
      <w:r w:rsidR="00666394" w:rsidRPr="00D553A8">
        <w:t>nclusion</w:t>
      </w:r>
      <w:r>
        <w:t>s</w:t>
      </w:r>
      <w:bookmarkEnd w:id="22"/>
      <w:r w:rsidR="00480209">
        <w:t xml:space="preserve"> </w:t>
      </w:r>
    </w:p>
    <w:p w14:paraId="42C3BDDD" w14:textId="2F9E6BDA" w:rsidR="009A710F" w:rsidRDefault="009A710F" w:rsidP="00DC6B47">
      <w:pPr>
        <w:spacing w:line="276" w:lineRule="auto"/>
      </w:pPr>
      <w:r>
        <w:t>At the</w:t>
      </w:r>
      <w:r w:rsidRPr="009A710F">
        <w:t xml:space="preserve"> time of writing this specification, the following will be included</w:t>
      </w:r>
      <w:r>
        <w:t>:</w:t>
      </w:r>
    </w:p>
    <w:p w14:paraId="1948B5A8" w14:textId="77777777" w:rsidR="00596D91" w:rsidRPr="00291F2B" w:rsidRDefault="00596D91" w:rsidP="00DC6B47">
      <w:pPr>
        <w:spacing w:line="276" w:lineRule="auto"/>
      </w:pPr>
    </w:p>
    <w:p w14:paraId="61441D52" w14:textId="77777777" w:rsidR="00F147FB" w:rsidRPr="00D553A8" w:rsidRDefault="00F147FB" w:rsidP="00311E27">
      <w:pPr>
        <w:pStyle w:val="Heading3"/>
        <w:tabs>
          <w:tab w:val="left" w:pos="1134"/>
        </w:tabs>
        <w:spacing w:before="0" w:line="276" w:lineRule="auto"/>
      </w:pPr>
      <w:bookmarkStart w:id="23" w:name="_Toc213777577"/>
      <w:r w:rsidRPr="00D553A8">
        <w:t>Services</w:t>
      </w:r>
      <w:bookmarkEnd w:id="23"/>
    </w:p>
    <w:p w14:paraId="7C6D2ADA" w14:textId="07F0954C" w:rsidR="003013E3" w:rsidRPr="004B1259" w:rsidRDefault="00596D91" w:rsidP="00596D91">
      <w:pPr>
        <w:spacing w:line="276" w:lineRule="auto"/>
      </w:pPr>
      <w:r w:rsidRPr="004B1259">
        <w:t xml:space="preserve">The audit will include all </w:t>
      </w:r>
      <w:r w:rsidR="001C04B0" w:rsidRPr="004B1259">
        <w:t xml:space="preserve">NHS/publicly funded </w:t>
      </w:r>
      <w:r w:rsidRPr="004B1259">
        <w:t xml:space="preserve">services providing </w:t>
      </w:r>
      <w:r w:rsidR="001C04B0" w:rsidRPr="004B1259">
        <w:t xml:space="preserve">paediatric </w:t>
      </w:r>
      <w:r w:rsidRPr="004B1259">
        <w:t>care for any child or young person (e.g. within a paediatric service</w:t>
      </w:r>
      <w:r w:rsidR="00D63370" w:rsidRPr="004B1259">
        <w:t xml:space="preserve"> or a dedicated paediatric team based in A&amp;E). </w:t>
      </w:r>
      <w:r w:rsidR="00437F3E" w:rsidRPr="004B1259">
        <w:t>The intention is that this will also include children seen by services within integrated neighbourhood teams in England but as these services are still developing, HQIP will work with the provider to agree how these can be included.</w:t>
      </w:r>
    </w:p>
    <w:p w14:paraId="79E4F440" w14:textId="77777777" w:rsidR="00596D91" w:rsidRPr="004B1259" w:rsidRDefault="00596D91" w:rsidP="00596D91">
      <w:pPr>
        <w:spacing w:line="276" w:lineRule="auto"/>
        <w:rPr>
          <w:rFonts w:asciiTheme="minorHAnsi" w:hAnsiTheme="minorHAnsi" w:cstheme="minorHAnsi"/>
        </w:rPr>
      </w:pPr>
    </w:p>
    <w:p w14:paraId="0311E070" w14:textId="69D01A12" w:rsidR="00285598" w:rsidRPr="00D553A8" w:rsidRDefault="00EB35DE" w:rsidP="00311E27">
      <w:pPr>
        <w:pStyle w:val="Heading3"/>
        <w:tabs>
          <w:tab w:val="left" w:pos="1134"/>
        </w:tabs>
        <w:spacing w:before="0" w:line="276" w:lineRule="auto"/>
      </w:pPr>
      <w:bookmarkStart w:id="24" w:name="_Toc213777578"/>
      <w:r>
        <w:t>Population</w:t>
      </w:r>
      <w:bookmarkEnd w:id="24"/>
      <w:r w:rsidR="00285598" w:rsidRPr="00D553A8">
        <w:t xml:space="preserve"> </w:t>
      </w:r>
    </w:p>
    <w:p w14:paraId="49C94F14" w14:textId="5D5AA16D" w:rsidR="00596D91" w:rsidRDefault="000D4DBF" w:rsidP="00596D91">
      <w:pPr>
        <w:widowControl/>
        <w:autoSpaceDE/>
        <w:autoSpaceDN/>
        <w:spacing w:line="276" w:lineRule="auto"/>
      </w:pPr>
      <w:r>
        <w:t>The focus of this audit is c</w:t>
      </w:r>
      <w:r w:rsidR="00596D91">
        <w:t xml:space="preserve">hildren and young people </w:t>
      </w:r>
      <w:r w:rsidR="00596D91" w:rsidRPr="00C870AE">
        <w:t xml:space="preserve">having a first paediatric assessment </w:t>
      </w:r>
      <w:r w:rsidR="00596D91" w:rsidRPr="00596D91">
        <w:t>that was ultimately deemed to be epileptic</w:t>
      </w:r>
      <w:r w:rsidR="00D63370">
        <w:t xml:space="preserve"> (</w:t>
      </w:r>
      <w:r w:rsidR="001C04B0">
        <w:t>at the time of writing</w:t>
      </w:r>
      <w:r>
        <w:t xml:space="preserve"> the specification,</w:t>
      </w:r>
      <w:r w:rsidR="001C04B0">
        <w:t xml:space="preserve"> </w:t>
      </w:r>
      <w:r w:rsidR="00D63370">
        <w:t xml:space="preserve">defined as </w:t>
      </w:r>
      <w:r w:rsidR="00D63370" w:rsidRPr="00D63370">
        <w:t xml:space="preserve">two or more epileptic seizure episodes at least 24 hours apart </w:t>
      </w:r>
      <w:r w:rsidR="004B1259">
        <w:t>or</w:t>
      </w:r>
      <w:r w:rsidR="00D63370" w:rsidRPr="00D63370">
        <w:t xml:space="preserve"> diagnosed with epilepsy for any other reason</w:t>
      </w:r>
      <w:r w:rsidR="00D63370">
        <w:t>)</w:t>
      </w:r>
      <w:r w:rsidR="00D63370" w:rsidRPr="00D63370">
        <w:t xml:space="preserve">. </w:t>
      </w:r>
      <w:r w:rsidR="00596D91">
        <w:t>T</w:t>
      </w:r>
      <w:r w:rsidR="00596D91" w:rsidRPr="00C870AE">
        <w:t xml:space="preserve">here is not a specified age range, </w:t>
      </w:r>
      <w:proofErr w:type="gramStart"/>
      <w:r w:rsidR="00596D91">
        <w:t xml:space="preserve">as long </w:t>
      </w:r>
      <w:r w:rsidR="00D63370">
        <w:t>as</w:t>
      </w:r>
      <w:proofErr w:type="gramEnd"/>
      <w:r w:rsidR="00D63370">
        <w:t xml:space="preserve"> </w:t>
      </w:r>
      <w:r w:rsidR="00596D91">
        <w:t xml:space="preserve">assessment and diagnosis </w:t>
      </w:r>
      <w:r w:rsidR="00D63370">
        <w:t>are</w:t>
      </w:r>
      <w:r w:rsidR="00596D91">
        <w:t xml:space="preserve"> undertaken in </w:t>
      </w:r>
      <w:r>
        <w:t xml:space="preserve">a paediatric </w:t>
      </w:r>
      <w:r w:rsidR="00596D91">
        <w:t>service</w:t>
      </w:r>
      <w:r>
        <w:t>.</w:t>
      </w:r>
    </w:p>
    <w:p w14:paraId="70FFB6BE" w14:textId="77777777" w:rsidR="000D4DBF" w:rsidRDefault="000D4DBF" w:rsidP="00596D91">
      <w:pPr>
        <w:widowControl/>
        <w:autoSpaceDE/>
        <w:autoSpaceDN/>
        <w:spacing w:line="276" w:lineRule="auto"/>
      </w:pPr>
    </w:p>
    <w:p w14:paraId="294A2615" w14:textId="23A950E4" w:rsidR="000D4DBF" w:rsidRDefault="000D4DBF" w:rsidP="00596D91">
      <w:pPr>
        <w:widowControl/>
        <w:autoSpaceDE/>
        <w:autoSpaceDN/>
        <w:spacing w:line="276" w:lineRule="auto"/>
      </w:pPr>
      <w:r>
        <w:t>A</w:t>
      </w:r>
      <w:r w:rsidRPr="001C04B0">
        <w:t xml:space="preserve">t time of writing the specification, the </w:t>
      </w:r>
      <w:r>
        <w:t xml:space="preserve">audit is not </w:t>
      </w:r>
      <w:r w:rsidRPr="001C04B0">
        <w:t xml:space="preserve">expected to </w:t>
      </w:r>
      <w:r>
        <w:t>include children or young adults</w:t>
      </w:r>
      <w:r w:rsidRPr="00D63370">
        <w:t xml:space="preserve"> referred or assessed by an adult service</w:t>
      </w:r>
      <w:r>
        <w:t xml:space="preserve"> (e.g. </w:t>
      </w:r>
      <w:r w:rsidRPr="00C870AE">
        <w:t>children seen only in adult services, emergency departments or a GP service, who are not then referred for assessment by a paediatric service</w:t>
      </w:r>
      <w:r>
        <w:t>)</w:t>
      </w:r>
      <w:r w:rsidRPr="00C870AE">
        <w:t>.</w:t>
      </w:r>
    </w:p>
    <w:p w14:paraId="0958AD19" w14:textId="77777777" w:rsidR="00D63370" w:rsidRDefault="00D63370" w:rsidP="00596D91">
      <w:pPr>
        <w:widowControl/>
        <w:autoSpaceDE/>
        <w:autoSpaceDN/>
        <w:spacing w:line="276" w:lineRule="auto"/>
      </w:pPr>
    </w:p>
    <w:p w14:paraId="7C0B464B" w14:textId="1F8E9D2A" w:rsidR="00285598" w:rsidRPr="00D553A8" w:rsidRDefault="00285598" w:rsidP="00311E27">
      <w:pPr>
        <w:pStyle w:val="Heading3"/>
        <w:tabs>
          <w:tab w:val="left" w:pos="1134"/>
        </w:tabs>
        <w:spacing w:before="0" w:line="276" w:lineRule="auto"/>
      </w:pPr>
      <w:bookmarkStart w:id="25" w:name="_Toc213777579"/>
      <w:r w:rsidRPr="00D553A8">
        <w:t>Geographical</w:t>
      </w:r>
      <w:bookmarkEnd w:id="25"/>
    </w:p>
    <w:p w14:paraId="5794B6D6" w14:textId="77777777" w:rsidR="00285598" w:rsidRPr="00D553A8" w:rsidRDefault="00285598" w:rsidP="00D63370">
      <w:pPr>
        <w:pStyle w:val="ListParagraph"/>
        <w:numPr>
          <w:ilvl w:val="0"/>
          <w:numId w:val="5"/>
        </w:numPr>
        <w:ind w:left="641" w:hanging="357"/>
        <w:jc w:val="left"/>
      </w:pPr>
      <w:r w:rsidRPr="00D553A8">
        <w:t xml:space="preserve">England </w:t>
      </w:r>
    </w:p>
    <w:p w14:paraId="7F3718DD" w14:textId="77777777" w:rsidR="00285598" w:rsidRDefault="007B497B" w:rsidP="00D63370">
      <w:pPr>
        <w:pStyle w:val="ListParagraph"/>
        <w:numPr>
          <w:ilvl w:val="0"/>
          <w:numId w:val="5"/>
        </w:numPr>
        <w:ind w:left="641" w:hanging="357"/>
        <w:jc w:val="left"/>
      </w:pPr>
      <w:r w:rsidRPr="00D553A8">
        <w:t>Wales</w:t>
      </w:r>
    </w:p>
    <w:p w14:paraId="594A773C" w14:textId="77777777" w:rsidR="006F1E4E" w:rsidRPr="006F1E4E" w:rsidRDefault="006F1E4E" w:rsidP="006F1E4E">
      <w:pPr>
        <w:pStyle w:val="ListParagraph"/>
        <w:numPr>
          <w:ilvl w:val="0"/>
          <w:numId w:val="5"/>
        </w:numPr>
        <w:ind w:left="641" w:hanging="357"/>
        <w:jc w:val="left"/>
      </w:pPr>
      <w:bookmarkStart w:id="26" w:name="_Toc60139418"/>
      <w:r w:rsidRPr="006F1E4E">
        <w:t>The Bailiwick of Jersey.</w:t>
      </w:r>
    </w:p>
    <w:p w14:paraId="0CFB9B29" w14:textId="77777777" w:rsidR="00285598" w:rsidRPr="00D553A8" w:rsidRDefault="00285598" w:rsidP="00311E27">
      <w:pPr>
        <w:spacing w:line="276" w:lineRule="auto"/>
        <w:rPr>
          <w:rFonts w:asciiTheme="minorHAnsi" w:eastAsia="Times New Roman" w:hAnsiTheme="minorHAnsi" w:cstheme="minorHAnsi"/>
          <w:lang w:eastAsia="en-GB"/>
        </w:rPr>
      </w:pPr>
    </w:p>
    <w:bookmarkEnd w:id="26"/>
    <w:p w14:paraId="2B7C263F" w14:textId="5C44DA77" w:rsidR="00285598" w:rsidRDefault="0001063A" w:rsidP="00311E27">
      <w:pPr>
        <w:pStyle w:val="Heading2"/>
        <w:spacing w:line="276" w:lineRule="auto"/>
      </w:pPr>
      <w:r>
        <w:t xml:space="preserve"> </w:t>
      </w:r>
      <w:bookmarkStart w:id="27" w:name="_Toc213777580"/>
      <w:r w:rsidR="00A66B3D">
        <w:t>Project</w:t>
      </w:r>
      <w:r w:rsidRPr="0001063A">
        <w:t xml:space="preserve"> </w:t>
      </w:r>
      <w:r>
        <w:t>r</w:t>
      </w:r>
      <w:r w:rsidRPr="0001063A">
        <w:t>equirement</w:t>
      </w:r>
      <w:r w:rsidR="00BB1005" w:rsidRPr="00D553A8">
        <w:t xml:space="preserve"> </w:t>
      </w:r>
      <w:bookmarkEnd w:id="27"/>
    </w:p>
    <w:p w14:paraId="764E3618" w14:textId="79591ADC" w:rsidR="009A710F" w:rsidRPr="00291F2B" w:rsidRDefault="00F44D81" w:rsidP="006F1E4E">
      <w:pPr>
        <w:spacing w:line="276" w:lineRule="auto"/>
      </w:pPr>
      <w:r w:rsidRPr="00D32B5C">
        <w:rPr>
          <w:color w:val="000000"/>
        </w:rPr>
        <w:t xml:space="preserve">The overall ambition </w:t>
      </w:r>
      <w:r>
        <w:rPr>
          <w:color w:val="000000"/>
        </w:rPr>
        <w:t xml:space="preserve">for the audit </w:t>
      </w:r>
      <w:r w:rsidRPr="00D32B5C">
        <w:rPr>
          <w:color w:val="000000"/>
        </w:rPr>
        <w:t xml:space="preserve">remains to drive equitable, high-quality, evidence-based care for all children and young people (CYP) diagnosed with epilepsies. There is no planned significant shift in the direction of the project. </w:t>
      </w:r>
      <w:r w:rsidR="009A710F">
        <w:t>At the</w:t>
      </w:r>
      <w:r w:rsidR="009A710F" w:rsidRPr="009A710F">
        <w:t xml:space="preserve"> time of writing this specification, </w:t>
      </w:r>
      <w:r w:rsidR="00D87EBF">
        <w:t>this</w:t>
      </w:r>
      <w:r w:rsidR="00D87EBF" w:rsidRPr="009A710F">
        <w:t xml:space="preserve"> </w:t>
      </w:r>
      <w:r w:rsidR="009A710F" w:rsidRPr="009A710F">
        <w:t>include</w:t>
      </w:r>
      <w:r w:rsidR="00D87EBF">
        <w:t>s</w:t>
      </w:r>
      <w:r w:rsidR="004B1259">
        <w:t>:</w:t>
      </w:r>
    </w:p>
    <w:p w14:paraId="320CE539" w14:textId="77777777" w:rsidR="00A66B3D" w:rsidRDefault="00A66B3D" w:rsidP="00F44D81">
      <w:pPr>
        <w:spacing w:line="276" w:lineRule="auto"/>
        <w:rPr>
          <w:color w:val="000000"/>
          <w:highlight w:val="yellow"/>
        </w:rPr>
      </w:pPr>
    </w:p>
    <w:p w14:paraId="4D64D08D" w14:textId="27A2B2EB" w:rsidR="00E733E9" w:rsidRDefault="00F44D81" w:rsidP="00F44D81">
      <w:pPr>
        <w:pStyle w:val="Heading3"/>
        <w:spacing w:line="276" w:lineRule="auto"/>
      </w:pPr>
      <w:bookmarkStart w:id="28" w:name="_Toc213777581"/>
      <w:r>
        <w:lastRenderedPageBreak/>
        <w:t>Prospective clinical audit</w:t>
      </w:r>
      <w:bookmarkEnd w:id="28"/>
    </w:p>
    <w:p w14:paraId="437B2DCF" w14:textId="2B10C20B" w:rsidR="00E733E9" w:rsidRPr="00446FD0" w:rsidRDefault="00F44D81" w:rsidP="00F44D81">
      <w:pPr>
        <w:spacing w:line="276" w:lineRule="auto"/>
        <w:rPr>
          <w:rFonts w:asciiTheme="minorHAnsi" w:eastAsia="Times New Roman" w:hAnsiTheme="minorHAnsi" w:cstheme="minorHAnsi"/>
        </w:rPr>
      </w:pPr>
      <w:r w:rsidRPr="00F44D81">
        <w:t xml:space="preserve">The </w:t>
      </w:r>
      <w:r>
        <w:t xml:space="preserve">prospective </w:t>
      </w:r>
      <w:r w:rsidRPr="00F44D81">
        <w:t xml:space="preserve">audit will continue to cover the first 12 months of care following a child or young person’s initial paediatric assessment and subsequent epilepsy diagnosis. It will focus on key aspects of diagnosis, treatment, professional involvement, care planning and mental-health support, recognising the critical importance of this first year in shaping long-term outcomes. Whilst a degree of continuity will be essential </w:t>
      </w:r>
      <w:r w:rsidR="0057476D">
        <w:t>to</w:t>
      </w:r>
      <w:r w:rsidRPr="00F44D81">
        <w:t xml:space="preserve"> be able to report year on year trends, some measures will be refined or stepped down to improve the utility of the audit outputs </w:t>
      </w:r>
      <w:r w:rsidR="00B23F38">
        <w:t xml:space="preserve">and reduce data burden </w:t>
      </w:r>
      <w:r w:rsidRPr="00F44D81">
        <w:t xml:space="preserve">over this contract. The </w:t>
      </w:r>
      <w:r w:rsidR="004B1259">
        <w:t>aim</w:t>
      </w:r>
      <w:r w:rsidRPr="00F44D81">
        <w:t xml:space="preserve"> is that outcomes data will be</w:t>
      </w:r>
      <w:r>
        <w:t xml:space="preserve"> incorporated into the audit at the earliest opportunity.</w:t>
      </w:r>
    </w:p>
    <w:p w14:paraId="3FEB662E" w14:textId="77777777" w:rsidR="00E733E9" w:rsidRPr="00D32B5C" w:rsidRDefault="00E733E9" w:rsidP="00F44D81">
      <w:pPr>
        <w:spacing w:line="276" w:lineRule="auto"/>
        <w:rPr>
          <w:color w:val="000000"/>
        </w:rPr>
      </w:pPr>
    </w:p>
    <w:p w14:paraId="0A1623CC" w14:textId="77777777" w:rsidR="00E733E9" w:rsidRPr="00D768AA" w:rsidRDefault="00E733E9" w:rsidP="00F44D81">
      <w:pPr>
        <w:pStyle w:val="Heading3"/>
        <w:spacing w:line="276" w:lineRule="auto"/>
      </w:pPr>
      <w:bookmarkStart w:id="29" w:name="_Toc213777582"/>
      <w:r w:rsidRPr="00D768AA">
        <w:t>Organisational survey</w:t>
      </w:r>
      <w:bookmarkEnd w:id="29"/>
    </w:p>
    <w:p w14:paraId="1AD7E941" w14:textId="4A4A6661" w:rsidR="00E733E9" w:rsidRDefault="00E733E9" w:rsidP="00F44D81">
      <w:pPr>
        <w:spacing w:line="276" w:lineRule="auto"/>
        <w:rPr>
          <w:rFonts w:asciiTheme="minorHAnsi" w:hAnsiTheme="minorHAnsi" w:cstheme="minorHAnsi"/>
        </w:rPr>
      </w:pPr>
      <w:r w:rsidRPr="002C0F4F">
        <w:rPr>
          <w:rFonts w:asciiTheme="minorHAnsi" w:hAnsiTheme="minorHAnsi" w:cstheme="minorHAnsi"/>
        </w:rPr>
        <w:t xml:space="preserve">The audit </w:t>
      </w:r>
      <w:r w:rsidR="00F44D81">
        <w:rPr>
          <w:rFonts w:asciiTheme="minorHAnsi" w:hAnsiTheme="minorHAnsi" w:cstheme="minorHAnsi"/>
        </w:rPr>
        <w:t>will</w:t>
      </w:r>
      <w:r w:rsidRPr="002C0F4F">
        <w:rPr>
          <w:rFonts w:asciiTheme="minorHAnsi" w:hAnsiTheme="minorHAnsi" w:cstheme="minorHAnsi"/>
        </w:rPr>
        <w:t xml:space="preserve"> include an </w:t>
      </w:r>
      <w:r w:rsidR="00F44D81">
        <w:rPr>
          <w:rFonts w:asciiTheme="minorHAnsi" w:hAnsiTheme="minorHAnsi" w:cstheme="minorHAnsi"/>
        </w:rPr>
        <w:t xml:space="preserve">annual </w:t>
      </w:r>
      <w:r w:rsidRPr="002C0F4F">
        <w:rPr>
          <w:rFonts w:asciiTheme="minorHAnsi" w:hAnsiTheme="minorHAnsi" w:cstheme="minorHAnsi"/>
        </w:rPr>
        <w:t xml:space="preserve">organisational survey </w:t>
      </w:r>
      <w:r w:rsidR="0057476D">
        <w:rPr>
          <w:rFonts w:asciiTheme="minorHAnsi" w:hAnsiTheme="minorHAnsi" w:cstheme="minorHAnsi"/>
        </w:rPr>
        <w:t>to</w:t>
      </w:r>
      <w:r w:rsidRPr="002C0F4F">
        <w:rPr>
          <w:rFonts w:asciiTheme="minorHAnsi" w:hAnsiTheme="minorHAnsi" w:cstheme="minorHAnsi"/>
        </w:rPr>
        <w:t xml:space="preserve"> map </w:t>
      </w:r>
      <w:r>
        <w:rPr>
          <w:rFonts w:asciiTheme="minorHAnsi" w:hAnsiTheme="minorHAnsi" w:cstheme="minorHAnsi"/>
        </w:rPr>
        <w:t xml:space="preserve">service </w:t>
      </w:r>
      <w:r w:rsidRPr="002C0F4F">
        <w:rPr>
          <w:rFonts w:asciiTheme="minorHAnsi" w:hAnsiTheme="minorHAnsi" w:cstheme="minorHAnsi"/>
        </w:rPr>
        <w:t>provision and structural components</w:t>
      </w:r>
      <w:r>
        <w:rPr>
          <w:rFonts w:asciiTheme="minorHAnsi" w:hAnsiTheme="minorHAnsi" w:cstheme="minorHAnsi"/>
        </w:rPr>
        <w:t xml:space="preserve"> (such as the </w:t>
      </w:r>
      <w:r w:rsidRPr="00D32B5C">
        <w:rPr>
          <w:color w:val="000000"/>
        </w:rPr>
        <w:t>service structure, workforce composition and the availability of key resources</w:t>
      </w:r>
      <w:r>
        <w:rPr>
          <w:rFonts w:asciiTheme="minorHAnsi" w:hAnsiTheme="minorHAnsi" w:cstheme="minorHAnsi"/>
        </w:rPr>
        <w:t>) against standards</w:t>
      </w:r>
      <w:r w:rsidRPr="002C0F4F">
        <w:rPr>
          <w:rFonts w:asciiTheme="minorHAnsi" w:hAnsiTheme="minorHAnsi" w:cstheme="minorHAnsi"/>
        </w:rPr>
        <w:t xml:space="preserve">.  </w:t>
      </w:r>
      <w:r>
        <w:rPr>
          <w:rFonts w:asciiTheme="minorHAnsi" w:hAnsiTheme="minorHAnsi" w:cstheme="minorHAnsi"/>
        </w:rPr>
        <w:t>The</w:t>
      </w:r>
      <w:r w:rsidRPr="002C0F4F">
        <w:rPr>
          <w:rFonts w:asciiTheme="minorHAnsi" w:hAnsiTheme="minorHAnsi" w:cstheme="minorHAnsi"/>
        </w:rPr>
        <w:t xml:space="preserve"> organisational audit should </w:t>
      </w:r>
      <w:r w:rsidR="000D4DBF">
        <w:rPr>
          <w:rFonts w:asciiTheme="minorHAnsi" w:hAnsiTheme="minorHAnsi" w:cstheme="minorHAnsi"/>
        </w:rPr>
        <w:t xml:space="preserve">aim to </w:t>
      </w:r>
      <w:r>
        <w:rPr>
          <w:rFonts w:asciiTheme="minorHAnsi" w:hAnsiTheme="minorHAnsi" w:cstheme="minorHAnsi"/>
        </w:rPr>
        <w:t>not just describe</w:t>
      </w:r>
      <w:r w:rsidRPr="002C0F4F">
        <w:rPr>
          <w:rFonts w:asciiTheme="minorHAnsi" w:hAnsiTheme="minorHAnsi" w:cstheme="minorHAnsi"/>
        </w:rPr>
        <w:t xml:space="preserve"> the </w:t>
      </w:r>
      <w:r>
        <w:rPr>
          <w:rFonts w:asciiTheme="minorHAnsi" w:hAnsiTheme="minorHAnsi" w:cstheme="minorHAnsi"/>
        </w:rPr>
        <w:t xml:space="preserve">hospital </w:t>
      </w:r>
      <w:r w:rsidRPr="002C0F4F">
        <w:rPr>
          <w:rFonts w:asciiTheme="minorHAnsi" w:hAnsiTheme="minorHAnsi" w:cstheme="minorHAnsi"/>
        </w:rPr>
        <w:t xml:space="preserve">structures and policies in place </w:t>
      </w:r>
      <w:r>
        <w:rPr>
          <w:rFonts w:asciiTheme="minorHAnsi" w:hAnsiTheme="minorHAnsi" w:cstheme="minorHAnsi"/>
        </w:rPr>
        <w:t>but also focus on assessing and measuring</w:t>
      </w:r>
      <w:r w:rsidRPr="002C0F4F">
        <w:rPr>
          <w:rFonts w:asciiTheme="minorHAnsi" w:hAnsiTheme="minorHAnsi" w:cstheme="minorHAnsi"/>
        </w:rPr>
        <w:t xml:space="preserve"> </w:t>
      </w:r>
      <w:r>
        <w:rPr>
          <w:rFonts w:asciiTheme="minorHAnsi" w:hAnsiTheme="minorHAnsi" w:cstheme="minorHAnsi"/>
        </w:rPr>
        <w:t xml:space="preserve">the </w:t>
      </w:r>
      <w:r w:rsidRPr="002C0F4F">
        <w:rPr>
          <w:rFonts w:asciiTheme="minorHAnsi" w:hAnsiTheme="minorHAnsi" w:cstheme="minorHAnsi"/>
        </w:rPr>
        <w:t xml:space="preserve">activities delivered </w:t>
      </w:r>
      <w:r>
        <w:rPr>
          <w:rFonts w:asciiTheme="minorHAnsi" w:hAnsiTheme="minorHAnsi" w:cstheme="minorHAnsi"/>
        </w:rPr>
        <w:t xml:space="preserve">and their impact. </w:t>
      </w:r>
    </w:p>
    <w:p w14:paraId="6D019FE5" w14:textId="77777777" w:rsidR="00CA12E1" w:rsidRDefault="00CA12E1" w:rsidP="006B1F92">
      <w:pPr>
        <w:pStyle w:val="Heading1"/>
      </w:pPr>
      <w:bookmarkStart w:id="30" w:name="_Toc213777583"/>
      <w:bookmarkEnd w:id="19"/>
      <w:bookmarkEnd w:id="20"/>
      <w:r>
        <w:t>O</w:t>
      </w:r>
      <w:r w:rsidRPr="00D44D58">
        <w:t>utputs</w:t>
      </w:r>
      <w:bookmarkEnd w:id="30"/>
    </w:p>
    <w:p w14:paraId="72600AF3" w14:textId="77777777" w:rsidR="00CA12E1" w:rsidRDefault="00CA12E1" w:rsidP="00CA12E1">
      <w:pPr>
        <w:pStyle w:val="Heading2"/>
        <w:spacing w:line="276" w:lineRule="auto"/>
      </w:pPr>
      <w:bookmarkStart w:id="31" w:name="_Toc213777584"/>
      <w:r>
        <w:t>Summary of outputs</w:t>
      </w:r>
      <w:bookmarkEnd w:id="31"/>
    </w:p>
    <w:p w14:paraId="699108BB" w14:textId="77777777" w:rsidR="00CA12E1" w:rsidRPr="00EF0D97" w:rsidRDefault="00CA12E1" w:rsidP="00CA12E1">
      <w:pPr>
        <w:spacing w:line="276" w:lineRule="auto"/>
      </w:pPr>
      <w:r>
        <w:t>T</w:t>
      </w:r>
      <w:r w:rsidRPr="00EF0D97">
        <w:t>he anticipated outputs are:</w:t>
      </w:r>
    </w:p>
    <w:p w14:paraId="7C08E2E5" w14:textId="3CF0E288" w:rsidR="00CA12E1" w:rsidRPr="00EF0D97" w:rsidRDefault="00CA12E1" w:rsidP="00640C59">
      <w:pPr>
        <w:numPr>
          <w:ilvl w:val="0"/>
          <w:numId w:val="18"/>
        </w:numPr>
        <w:spacing w:line="276" w:lineRule="auto"/>
      </w:pPr>
      <w:r w:rsidRPr="00EF0D97">
        <w:t>Near real</w:t>
      </w:r>
      <w:r>
        <w:t>-</w:t>
      </w:r>
      <w:r w:rsidRPr="00EF0D97">
        <w:t xml:space="preserve">time </w:t>
      </w:r>
      <w:r>
        <w:t>interactive</w:t>
      </w:r>
      <w:r w:rsidRPr="00EF0D97">
        <w:t xml:space="preserve"> metric results</w:t>
      </w:r>
    </w:p>
    <w:p w14:paraId="7BF559C8" w14:textId="49E30622" w:rsidR="00CA12E1" w:rsidRPr="00EF0D97" w:rsidRDefault="00CA12E1" w:rsidP="00640C59">
      <w:pPr>
        <w:numPr>
          <w:ilvl w:val="0"/>
          <w:numId w:val="18"/>
        </w:numPr>
        <w:spacing w:line="276" w:lineRule="auto"/>
      </w:pPr>
      <w:r w:rsidRPr="00EF0D97">
        <w:t>Publication of an annual state of the nation report</w:t>
      </w:r>
      <w:r w:rsidR="000D4DBF">
        <w:t xml:space="preserve"> </w:t>
      </w:r>
    </w:p>
    <w:p w14:paraId="0E8251C2" w14:textId="77777777" w:rsidR="00CA12E1" w:rsidRDefault="00CA12E1" w:rsidP="00640C59">
      <w:pPr>
        <w:numPr>
          <w:ilvl w:val="0"/>
          <w:numId w:val="18"/>
        </w:numPr>
        <w:spacing w:line="276" w:lineRule="auto"/>
      </w:pPr>
      <w:r w:rsidRPr="00EF0D97">
        <w:t xml:space="preserve">Quality improvement resources </w:t>
      </w:r>
    </w:p>
    <w:p w14:paraId="38873BF2" w14:textId="77777777" w:rsidR="00CA12E1" w:rsidRPr="00EF0D97" w:rsidRDefault="00CA12E1" w:rsidP="00640C59">
      <w:pPr>
        <w:numPr>
          <w:ilvl w:val="0"/>
          <w:numId w:val="18"/>
        </w:numPr>
        <w:spacing w:line="276" w:lineRule="auto"/>
      </w:pPr>
      <w:r w:rsidRPr="00EF0D97">
        <w:t>The identification and notification of outliers</w:t>
      </w:r>
    </w:p>
    <w:p w14:paraId="51D76DAE" w14:textId="77777777" w:rsidR="000D4DBF" w:rsidRDefault="000D4DBF" w:rsidP="00CA12E1">
      <w:pPr>
        <w:spacing w:line="276" w:lineRule="auto"/>
      </w:pPr>
    </w:p>
    <w:p w14:paraId="001A0830" w14:textId="534D26D4" w:rsidR="00CA12E1" w:rsidRDefault="00CA12E1" w:rsidP="00CA12E1">
      <w:pPr>
        <w:spacing w:line="276" w:lineRule="auto"/>
      </w:pPr>
      <w:r w:rsidRPr="00EF0D97">
        <w:t>The output section below provides a more detailed breakdown for each of these anticipated outputs.</w:t>
      </w:r>
    </w:p>
    <w:p w14:paraId="7FE761E1" w14:textId="77777777" w:rsidR="000C69A4" w:rsidRPr="00EF0D97" w:rsidRDefault="000C69A4" w:rsidP="00CA12E1">
      <w:pPr>
        <w:spacing w:line="276" w:lineRule="auto"/>
      </w:pPr>
    </w:p>
    <w:p w14:paraId="5E796D72" w14:textId="275A5866" w:rsidR="000C69A4" w:rsidRPr="002E0900" w:rsidRDefault="000C69A4" w:rsidP="004B1259">
      <w:pPr>
        <w:spacing w:after="120"/>
      </w:pPr>
      <w:r w:rsidRPr="002E0900">
        <w:t xml:space="preserve">The dates of the publication intervals will be determined when the contract is written and will be set out in the </w:t>
      </w:r>
      <w:r w:rsidR="00D87EBF">
        <w:t xml:space="preserve">contract </w:t>
      </w:r>
      <w:r w:rsidRPr="002E0900">
        <w:t xml:space="preserve">deliverables. </w:t>
      </w:r>
    </w:p>
    <w:p w14:paraId="01B8B92C" w14:textId="77777777" w:rsidR="00CA12E1" w:rsidRPr="005711F5" w:rsidRDefault="00CA12E1" w:rsidP="00CA12E1"/>
    <w:p w14:paraId="26A490C3" w14:textId="77777777" w:rsidR="00CA12E1" w:rsidRDefault="00CA12E1" w:rsidP="00CA12E1">
      <w:pPr>
        <w:pStyle w:val="Heading2"/>
        <w:spacing w:line="276" w:lineRule="auto"/>
      </w:pPr>
      <w:bookmarkStart w:id="32" w:name="_Toc213777585"/>
      <w:r>
        <w:t>Metric results</w:t>
      </w:r>
      <w:bookmarkEnd w:id="32"/>
    </w:p>
    <w:p w14:paraId="3C571741" w14:textId="62EDE119" w:rsidR="00CA12E1" w:rsidRPr="00E931C2" w:rsidRDefault="00CA12E1" w:rsidP="00D87EBF">
      <w:pPr>
        <w:spacing w:line="276" w:lineRule="auto"/>
      </w:pPr>
      <w:r w:rsidRPr="00D87EBF">
        <w:t xml:space="preserve">The supplier will ensure </w:t>
      </w:r>
      <w:r w:rsidR="00AF792B">
        <w:t>interactive</w:t>
      </w:r>
      <w:r w:rsidR="00AF792B" w:rsidRPr="00D87EBF">
        <w:t xml:space="preserve"> </w:t>
      </w:r>
      <w:r w:rsidRPr="00D87EBF">
        <w:t>audit performance metric results are available as close to real-time as possible.  For this project this means</w:t>
      </w:r>
      <w:r w:rsidR="00A14760" w:rsidRPr="00D87EBF">
        <w:t xml:space="preserve"> </w:t>
      </w:r>
      <w:r w:rsidR="00A14760" w:rsidRPr="00E931C2">
        <w:t>t</w:t>
      </w:r>
      <w:r w:rsidRPr="00E931C2">
        <w:t xml:space="preserve">he metric outputs should </w:t>
      </w:r>
      <w:r w:rsidR="006C636C" w:rsidRPr="00E931C2">
        <w:t>continue to be monthly from the start of the contract.</w:t>
      </w:r>
    </w:p>
    <w:p w14:paraId="5B427F75" w14:textId="77777777" w:rsidR="00D87EBF" w:rsidRPr="00D87EBF" w:rsidRDefault="00D87EBF" w:rsidP="00E931C2">
      <w:pPr>
        <w:spacing w:line="276" w:lineRule="auto"/>
      </w:pPr>
    </w:p>
    <w:p w14:paraId="1258D9C0" w14:textId="77777777" w:rsidR="00CA12E1" w:rsidRDefault="00CA12E1" w:rsidP="00CA12E1">
      <w:pPr>
        <w:spacing w:line="276" w:lineRule="auto"/>
      </w:pPr>
      <w:r>
        <w:t>The supplier will ensure that these results:</w:t>
      </w:r>
    </w:p>
    <w:p w14:paraId="75A648D4" w14:textId="77777777" w:rsidR="00CA12E1" w:rsidRDefault="00CA12E1" w:rsidP="00640C59">
      <w:pPr>
        <w:pStyle w:val="ListParagraph"/>
        <w:numPr>
          <w:ilvl w:val="0"/>
          <w:numId w:val="10"/>
        </w:numPr>
        <w:spacing w:after="160"/>
        <w:jc w:val="left"/>
      </w:pPr>
      <w:r>
        <w:t>Do not identify individuals</w:t>
      </w:r>
    </w:p>
    <w:p w14:paraId="0744E20F" w14:textId="77777777" w:rsidR="00CA12E1" w:rsidRDefault="00CA12E1" w:rsidP="00640C59">
      <w:pPr>
        <w:pStyle w:val="ListParagraph"/>
        <w:numPr>
          <w:ilvl w:val="0"/>
          <w:numId w:val="10"/>
        </w:numPr>
        <w:spacing w:after="160"/>
        <w:jc w:val="left"/>
      </w:pPr>
      <w:r>
        <w:t>Are freely available to the public, without the need for a password</w:t>
      </w:r>
    </w:p>
    <w:p w14:paraId="78A1026F" w14:textId="4FFE1340" w:rsidR="00CA12E1" w:rsidRPr="00437F3E" w:rsidRDefault="00CA12E1" w:rsidP="00640C59">
      <w:pPr>
        <w:pStyle w:val="ListParagraph"/>
        <w:numPr>
          <w:ilvl w:val="0"/>
          <w:numId w:val="10"/>
        </w:numPr>
        <w:spacing w:after="160"/>
        <w:jc w:val="left"/>
      </w:pPr>
      <w:r w:rsidRPr="00437F3E">
        <w:t>Are interactive, allowing users to select from pre-defined filters and benchmarking options, e.g. time periods, regions</w:t>
      </w:r>
      <w:r w:rsidR="002E0900" w:rsidRPr="00E931C2">
        <w:t>, with benchmarking results visually</w:t>
      </w:r>
      <w:r w:rsidR="002E0900" w:rsidRPr="00E931C2">
        <w:rPr>
          <w:rFonts w:cstheme="minorHAnsi"/>
        </w:rPr>
        <w:t xml:space="preserve"> easy-to-see</w:t>
      </w:r>
    </w:p>
    <w:p w14:paraId="53E743E0" w14:textId="78669EFE" w:rsidR="00CA12E1" w:rsidRPr="00437F3E" w:rsidRDefault="00CA12E1" w:rsidP="00640C59">
      <w:pPr>
        <w:pStyle w:val="ListParagraph"/>
        <w:numPr>
          <w:ilvl w:val="0"/>
          <w:numId w:val="9"/>
        </w:numPr>
        <w:spacing w:after="160"/>
        <w:jc w:val="left"/>
      </w:pPr>
      <w:r w:rsidRPr="00437F3E">
        <w:t>Are tailored to the needs of relevant audiences (it is expected that these needs will be established through engagement with these audiences</w:t>
      </w:r>
      <w:r w:rsidR="004B1259">
        <w:t xml:space="preserve"> including front line services and funders</w:t>
      </w:r>
      <w:r w:rsidRPr="00437F3E">
        <w:t>)</w:t>
      </w:r>
    </w:p>
    <w:p w14:paraId="6A23C369" w14:textId="099D8C95" w:rsidR="00CA12E1" w:rsidRPr="00437F3E" w:rsidRDefault="00CA12E1" w:rsidP="00640C59">
      <w:pPr>
        <w:pStyle w:val="ListParagraph"/>
        <w:numPr>
          <w:ilvl w:val="0"/>
          <w:numId w:val="10"/>
        </w:numPr>
        <w:spacing w:after="160"/>
        <w:jc w:val="left"/>
      </w:pPr>
      <w:r w:rsidRPr="00437F3E">
        <w:t>Show longitudinal data</w:t>
      </w:r>
      <w:r w:rsidR="006C636C" w:rsidRPr="00E931C2">
        <w:t xml:space="preserve">, particularly </w:t>
      </w:r>
      <w:r w:rsidR="006C636C" w:rsidRPr="00E931C2">
        <w:rPr>
          <w:rFonts w:cstheme="minorHAnsi"/>
        </w:rPr>
        <w:t>progress toward evidence-based targets and improvement over time</w:t>
      </w:r>
    </w:p>
    <w:p w14:paraId="790C8794" w14:textId="77777777" w:rsidR="00CA12E1" w:rsidRDefault="00CA12E1" w:rsidP="00640C59">
      <w:pPr>
        <w:pStyle w:val="ListParagraph"/>
        <w:numPr>
          <w:ilvl w:val="0"/>
          <w:numId w:val="9"/>
        </w:numPr>
        <w:spacing w:after="160"/>
        <w:jc w:val="left"/>
      </w:pPr>
      <w:r w:rsidRPr="00437F3E">
        <w:lastRenderedPageBreak/>
        <w:t xml:space="preserve">Present data at different levels of granularity. These levels will be agreed through the governance processes for the project, but are expected to include each participating nation and each named </w:t>
      </w:r>
      <w:r>
        <w:t xml:space="preserve">individual healthcare provider </w:t>
      </w:r>
    </w:p>
    <w:p w14:paraId="005A0DA8" w14:textId="5EB42721" w:rsidR="006C636C" w:rsidRPr="00D156F7" w:rsidRDefault="00CA12E1" w:rsidP="0031474F">
      <w:pPr>
        <w:pStyle w:val="ListParagraph"/>
        <w:numPr>
          <w:ilvl w:val="0"/>
          <w:numId w:val="9"/>
        </w:numPr>
        <w:ind w:left="714" w:hanging="357"/>
        <w:contextualSpacing w:val="0"/>
        <w:jc w:val="left"/>
      </w:pPr>
      <w:r w:rsidRPr="00D156F7">
        <w:t>Provide a data export function that enables data to be extracted at different health geographies to meet the needs of different stakeholders, for example commissioners, I</w:t>
      </w:r>
      <w:r w:rsidR="00474E20" w:rsidRPr="00D156F7">
        <w:t>ntegrated Care Boards (I</w:t>
      </w:r>
      <w:r w:rsidRPr="00D156F7">
        <w:t>CBs</w:t>
      </w:r>
      <w:r w:rsidR="00474E20" w:rsidRPr="00D156F7">
        <w:t>)</w:t>
      </w:r>
      <w:r w:rsidRPr="00D156F7">
        <w:t>, and service providers</w:t>
      </w:r>
    </w:p>
    <w:p w14:paraId="1FC368EF" w14:textId="11DAEE36" w:rsidR="0031474F" w:rsidRPr="00E931C2" w:rsidRDefault="0031474F" w:rsidP="0031474F">
      <w:pPr>
        <w:pStyle w:val="ListParagraph"/>
        <w:numPr>
          <w:ilvl w:val="0"/>
          <w:numId w:val="9"/>
        </w:numPr>
        <w:jc w:val="left"/>
      </w:pPr>
      <w:r w:rsidRPr="00E931C2">
        <w:t>Presenting data on health inequalities for performance metrics</w:t>
      </w:r>
      <w:r w:rsidR="00AF792B">
        <w:t>, where possible</w:t>
      </w:r>
    </w:p>
    <w:p w14:paraId="2E7D0845" w14:textId="77777777" w:rsidR="006C636C" w:rsidRPr="00D156F7" w:rsidRDefault="006C636C" w:rsidP="00CA12E1">
      <w:pPr>
        <w:spacing w:line="276" w:lineRule="auto"/>
      </w:pPr>
    </w:p>
    <w:p w14:paraId="34B501FF" w14:textId="23B694F4" w:rsidR="00CA12E1" w:rsidRPr="00A14760" w:rsidRDefault="00CA12E1" w:rsidP="00CA12E1">
      <w:pPr>
        <w:spacing w:line="276" w:lineRule="auto"/>
      </w:pPr>
      <w:r w:rsidRPr="00A14760">
        <w:t>By exception, and where there is good reason, default features can be excluded with agreement of the commissioner (for instance, where this allows for resources to be used for better targeted features).</w:t>
      </w:r>
    </w:p>
    <w:p w14:paraId="1F1A5474" w14:textId="77777777" w:rsidR="00CA12E1" w:rsidRPr="00A14760" w:rsidRDefault="00CA12E1" w:rsidP="00CA12E1">
      <w:pPr>
        <w:spacing w:line="276" w:lineRule="auto"/>
      </w:pPr>
    </w:p>
    <w:p w14:paraId="50269E30" w14:textId="77777777" w:rsidR="00CA12E1" w:rsidRPr="002B7038" w:rsidRDefault="00CA12E1" w:rsidP="00CA12E1">
      <w:pPr>
        <w:spacing w:line="276" w:lineRule="auto"/>
      </w:pPr>
      <w:r>
        <w:t>Additional d</w:t>
      </w:r>
      <w:r w:rsidRPr="002B7038">
        <w:t xml:space="preserve">esirable features </w:t>
      </w:r>
      <w:r>
        <w:t>are set out below; however, the supplier will work with stakeholders to identify the functionalities important to them</w:t>
      </w:r>
      <w:r w:rsidRPr="002B7038">
        <w:t>:</w:t>
      </w:r>
    </w:p>
    <w:p w14:paraId="748F6C2E" w14:textId="77777777" w:rsidR="00CA12E1" w:rsidRDefault="00CA12E1" w:rsidP="00640C59">
      <w:pPr>
        <w:widowControl/>
        <w:numPr>
          <w:ilvl w:val="0"/>
          <w:numId w:val="8"/>
        </w:numPr>
        <w:autoSpaceDE/>
        <w:autoSpaceDN/>
        <w:spacing w:line="276" w:lineRule="auto"/>
      </w:pPr>
      <w:r w:rsidRPr="002B7038">
        <w:t xml:space="preserve">Presenting data </w:t>
      </w:r>
      <w:r>
        <w:t>via a range of graphic and tabular methods</w:t>
      </w:r>
    </w:p>
    <w:p w14:paraId="5D5AC834" w14:textId="77777777" w:rsidR="00CA12E1" w:rsidRDefault="00CA12E1" w:rsidP="00640C59">
      <w:pPr>
        <w:widowControl/>
        <w:numPr>
          <w:ilvl w:val="0"/>
          <w:numId w:val="8"/>
        </w:numPr>
        <w:autoSpaceDE/>
        <w:autoSpaceDN/>
        <w:spacing w:line="276" w:lineRule="auto"/>
      </w:pPr>
      <w:r w:rsidRPr="002B7038">
        <w:t>Allowing users to define their own views</w:t>
      </w:r>
      <w:r>
        <w:t xml:space="preserve"> (in addition to any pre-defined filters)</w:t>
      </w:r>
    </w:p>
    <w:p w14:paraId="7EBF5BF0" w14:textId="77777777" w:rsidR="00CA12E1" w:rsidRDefault="00CA12E1" w:rsidP="00640C59">
      <w:pPr>
        <w:widowControl/>
        <w:numPr>
          <w:ilvl w:val="0"/>
          <w:numId w:val="8"/>
        </w:numPr>
        <w:autoSpaceDE/>
        <w:autoSpaceDN/>
        <w:spacing w:line="276" w:lineRule="auto"/>
      </w:pPr>
      <w:r w:rsidRPr="00074455">
        <w:t>Functionality that compares a selected healthcare provider against other relevant comparators</w:t>
      </w:r>
      <w:r>
        <w:t>, and against averages for their nation</w:t>
      </w:r>
      <w:r w:rsidRPr="00074455">
        <w:t>, and allow</w:t>
      </w:r>
      <w:r>
        <w:t>s</w:t>
      </w:r>
      <w:r w:rsidRPr="00074455">
        <w:t xml:space="preserve"> the user to </w:t>
      </w:r>
      <w:r>
        <w:t xml:space="preserve">set their own healthcare provider comparators </w:t>
      </w:r>
    </w:p>
    <w:p w14:paraId="6086F724" w14:textId="77777777" w:rsidR="006C636C" w:rsidRDefault="00CA12E1" w:rsidP="00640C59">
      <w:pPr>
        <w:widowControl/>
        <w:numPr>
          <w:ilvl w:val="0"/>
          <w:numId w:val="8"/>
        </w:numPr>
        <w:autoSpaceDE/>
        <w:autoSpaceDN/>
        <w:spacing w:line="276" w:lineRule="auto"/>
        <w:ind w:left="709"/>
      </w:pPr>
      <w:r>
        <w:t>Functionality for users to download the aggregate data being presented in each view</w:t>
      </w:r>
      <w:r w:rsidRPr="00074455">
        <w:t>, and the full set of graphs and visualisations for a chosen healthcare provider</w:t>
      </w:r>
    </w:p>
    <w:p w14:paraId="63834C48" w14:textId="12765426" w:rsidR="00CA12E1" w:rsidRDefault="00CA12E1" w:rsidP="00640C59">
      <w:pPr>
        <w:widowControl/>
        <w:numPr>
          <w:ilvl w:val="0"/>
          <w:numId w:val="8"/>
        </w:numPr>
        <w:autoSpaceDE/>
        <w:autoSpaceDN/>
        <w:spacing w:line="276" w:lineRule="auto"/>
        <w:ind w:left="709"/>
      </w:pPr>
      <w:r>
        <w:t>Planning this secure, non-disclosive public data visualisation system alongside any provision of login-protected local visualisation for data to support direct care and / or local quality improvement</w:t>
      </w:r>
    </w:p>
    <w:p w14:paraId="0F593C9B" w14:textId="79759B40" w:rsidR="00AF792B" w:rsidRDefault="00AF792B" w:rsidP="00640C59">
      <w:pPr>
        <w:widowControl/>
        <w:numPr>
          <w:ilvl w:val="0"/>
          <w:numId w:val="8"/>
        </w:numPr>
        <w:autoSpaceDE/>
        <w:autoSpaceDN/>
        <w:spacing w:line="276" w:lineRule="auto"/>
        <w:ind w:left="709"/>
      </w:pPr>
      <w:bookmarkStart w:id="33" w:name="_Hlk216874689"/>
      <w:r>
        <w:t>Presenting data on outlier status, particularly over time</w:t>
      </w:r>
    </w:p>
    <w:bookmarkEnd w:id="33"/>
    <w:p w14:paraId="0965F8BC" w14:textId="77777777" w:rsidR="009C6613" w:rsidRDefault="009C6613" w:rsidP="002D44E0">
      <w:pPr>
        <w:widowControl/>
        <w:autoSpaceDE/>
        <w:autoSpaceDN/>
        <w:spacing w:line="276" w:lineRule="auto"/>
        <w:ind w:left="709"/>
      </w:pPr>
    </w:p>
    <w:p w14:paraId="3F12622A" w14:textId="77777777" w:rsidR="00CA12E1" w:rsidRDefault="00CA12E1" w:rsidP="00CA12E1">
      <w:pPr>
        <w:pStyle w:val="Heading2"/>
        <w:spacing w:line="276" w:lineRule="auto"/>
      </w:pPr>
      <w:bookmarkStart w:id="34" w:name="_Toc213777586"/>
      <w:r>
        <w:t>Reports</w:t>
      </w:r>
      <w:bookmarkEnd w:id="34"/>
    </w:p>
    <w:p w14:paraId="38CD989D" w14:textId="7EB257A2" w:rsidR="00D87EBF" w:rsidRDefault="00CA12E1" w:rsidP="00D87EBF">
      <w:pPr>
        <w:widowControl/>
        <w:tabs>
          <w:tab w:val="left" w:pos="1701"/>
          <w:tab w:val="left" w:pos="3261"/>
        </w:tabs>
        <w:autoSpaceDE/>
        <w:autoSpaceDN/>
        <w:spacing w:line="276" w:lineRule="auto"/>
      </w:pPr>
      <w:bookmarkStart w:id="35" w:name="_Hlk216082844"/>
      <w:r w:rsidRPr="00D553A8">
        <w:t xml:space="preserve">The </w:t>
      </w:r>
      <w:r>
        <w:t>supplier</w:t>
      </w:r>
      <w:r w:rsidRPr="00D553A8">
        <w:t xml:space="preserve"> is expected to </w:t>
      </w:r>
      <w:r>
        <w:t>produce</w:t>
      </w:r>
      <w:r w:rsidRPr="00D553A8">
        <w:t xml:space="preserve"> a</w:t>
      </w:r>
      <w:r>
        <w:t xml:space="preserve">n annual </w:t>
      </w:r>
      <w:r w:rsidRPr="00D553A8">
        <w:t xml:space="preserve">state of the nation summary </w:t>
      </w:r>
      <w:r>
        <w:t xml:space="preserve">report </w:t>
      </w:r>
      <w:r w:rsidRPr="00D553A8">
        <w:t>(</w:t>
      </w:r>
      <w:r w:rsidR="00D87EBF">
        <w:t xml:space="preserve">at the time of writing the specification, this is </w:t>
      </w:r>
      <w:r w:rsidRPr="00D553A8">
        <w:t xml:space="preserve">approximately 10 pages </w:t>
      </w:r>
      <w:r w:rsidR="00437F3E">
        <w:t>with</w:t>
      </w:r>
      <w:r w:rsidR="00437F3E" w:rsidRPr="00D553A8">
        <w:t xml:space="preserve"> </w:t>
      </w:r>
      <w:r>
        <w:t xml:space="preserve">up to </w:t>
      </w:r>
      <w:r w:rsidRPr="00D553A8">
        <w:t>5 national recommendations).</w:t>
      </w:r>
      <w:bookmarkEnd w:id="35"/>
      <w:r w:rsidRPr="00D553A8">
        <w:t xml:space="preserve">  </w:t>
      </w:r>
      <w:r w:rsidR="00D87EBF">
        <w:t xml:space="preserve">The report can include data from the prospective audit and the organisational </w:t>
      </w:r>
      <w:r w:rsidR="00D11A1E">
        <w:t>survey,</w:t>
      </w:r>
      <w:r w:rsidR="00D87EBF">
        <w:t xml:space="preserve"> or these can be published separately – HQIP is not prescriptive on how this should be done and will work with the supplier to agree this.</w:t>
      </w:r>
      <w:r w:rsidR="00D20DF4">
        <w:t xml:space="preserve"> </w:t>
      </w:r>
    </w:p>
    <w:p w14:paraId="5802F463" w14:textId="77777777" w:rsidR="00D87EBF" w:rsidRDefault="00D87EBF" w:rsidP="00D87EBF">
      <w:pPr>
        <w:widowControl/>
        <w:tabs>
          <w:tab w:val="left" w:pos="1701"/>
          <w:tab w:val="left" w:pos="3261"/>
        </w:tabs>
        <w:autoSpaceDE/>
        <w:autoSpaceDN/>
        <w:spacing w:line="276" w:lineRule="auto"/>
      </w:pPr>
    </w:p>
    <w:p w14:paraId="7C15AD3A" w14:textId="2A3E4860" w:rsidR="00CA12E1" w:rsidRDefault="00CA12E1" w:rsidP="001E3288">
      <w:pPr>
        <w:spacing w:line="276" w:lineRule="auto"/>
      </w:pPr>
      <w:r w:rsidRPr="00D553A8">
        <w:t xml:space="preserve">HQIP will </w:t>
      </w:r>
      <w:r w:rsidR="00D87EBF">
        <w:t xml:space="preserve">also </w:t>
      </w:r>
      <w:r w:rsidRPr="00D553A8">
        <w:t xml:space="preserve">work with the supplier to agree the final reporting dates and any subsequent alterations will be subject to HQIP approval. </w:t>
      </w:r>
      <w:r>
        <w:t>The supplier should follow the reporting requirements in the Provider Technical Manual (PTM). The PTM is published and updated by the commissioner at regular intervals to ensure the NCAPOP project outputs continue to evolve to meet the needs of stakeholders.</w:t>
      </w:r>
      <w:r w:rsidR="00923F36">
        <w:t xml:space="preserve"> </w:t>
      </w:r>
      <w:r w:rsidR="00923F36" w:rsidRPr="00E931C2">
        <w:t>See section 14.1 for more information on the PTM.</w:t>
      </w:r>
    </w:p>
    <w:p w14:paraId="01075243" w14:textId="77777777" w:rsidR="001E3288" w:rsidRDefault="001E3288" w:rsidP="001E3288">
      <w:pPr>
        <w:spacing w:line="276" w:lineRule="auto"/>
      </w:pPr>
    </w:p>
    <w:p w14:paraId="2BD9C725" w14:textId="41499CA8" w:rsidR="00CA12E1" w:rsidRDefault="00CA12E1" w:rsidP="001E3288">
      <w:pPr>
        <w:spacing w:line="276" w:lineRule="auto"/>
      </w:pPr>
      <w:r>
        <w:t xml:space="preserve">The supplier must </w:t>
      </w:r>
      <w:r w:rsidRPr="003735C9">
        <w:t xml:space="preserve">consult with and take on board the views of </w:t>
      </w:r>
      <w:r>
        <w:t xml:space="preserve">HQIP </w:t>
      </w:r>
      <w:r w:rsidRPr="003735C9">
        <w:t>and funders when drafting the report, writing the recommendations, and liaising with the recommendation audience in advance of the publication of the report.</w:t>
      </w:r>
      <w:r>
        <w:t xml:space="preserve"> F</w:t>
      </w:r>
      <w:r w:rsidRPr="003735C9">
        <w:t>und</w:t>
      </w:r>
      <w:r>
        <w:t xml:space="preserve">ers may expect </w:t>
      </w:r>
      <w:r w:rsidRPr="003735C9">
        <w:t>to join up policy at a system level with potential recommendations</w:t>
      </w:r>
      <w:r>
        <w:t xml:space="preserve">, so this needs to be </w:t>
      </w:r>
      <w:r w:rsidR="00437F3E">
        <w:t>considered</w:t>
      </w:r>
      <w:r>
        <w:t>.</w:t>
      </w:r>
    </w:p>
    <w:p w14:paraId="356A5E40" w14:textId="77777777" w:rsidR="001E3288" w:rsidRDefault="001E3288" w:rsidP="001E3288">
      <w:pPr>
        <w:spacing w:line="276" w:lineRule="auto"/>
      </w:pPr>
    </w:p>
    <w:p w14:paraId="5CB9A56A" w14:textId="77777777" w:rsidR="00CA12E1" w:rsidRDefault="00CA12E1" w:rsidP="001E3288">
      <w:pPr>
        <w:widowControl/>
        <w:tabs>
          <w:tab w:val="left" w:pos="1701"/>
          <w:tab w:val="left" w:pos="3261"/>
        </w:tabs>
        <w:autoSpaceDE/>
        <w:autoSpaceDN/>
        <w:spacing w:line="276" w:lineRule="auto"/>
      </w:pPr>
      <w:r w:rsidRPr="00D553A8">
        <w:t>All national comparative reports will be subject to HQIP’s Standard Reporting Procedure (SRP)</w:t>
      </w:r>
      <w:r>
        <w:t>, which ensures the reports meet HQIP and funder requirements before sign-off</w:t>
      </w:r>
      <w:r w:rsidRPr="00D553A8">
        <w:t xml:space="preserve">. </w:t>
      </w:r>
      <w:bookmarkStart w:id="36" w:name="_Hlk189151169"/>
      <w:r>
        <w:t xml:space="preserve">As a general guide, the SRP takes place over a three-month period immediately prior to publication, although this is subject to change. </w:t>
      </w:r>
      <w:bookmarkEnd w:id="36"/>
      <w:r w:rsidRPr="00D553A8">
        <w:t xml:space="preserve">Early in </w:t>
      </w:r>
      <w:r w:rsidRPr="00D553A8">
        <w:lastRenderedPageBreak/>
        <w:t>the contract, a progress report may be relevant rather than publication of comparative data, and in this case the requirement to follow the SRP may be waived.</w:t>
      </w:r>
    </w:p>
    <w:p w14:paraId="128F301A" w14:textId="77777777" w:rsidR="00D87EBF" w:rsidRDefault="00D87EBF" w:rsidP="001E3288">
      <w:pPr>
        <w:widowControl/>
        <w:tabs>
          <w:tab w:val="left" w:pos="1701"/>
          <w:tab w:val="left" w:pos="3261"/>
        </w:tabs>
        <w:autoSpaceDE/>
        <w:autoSpaceDN/>
        <w:spacing w:line="276" w:lineRule="auto"/>
      </w:pPr>
    </w:p>
    <w:p w14:paraId="329B2343" w14:textId="77777777" w:rsidR="00CA12E1" w:rsidRDefault="00CA12E1" w:rsidP="00CA12E1">
      <w:pPr>
        <w:pStyle w:val="Heading2"/>
        <w:spacing w:line="276" w:lineRule="auto"/>
      </w:pPr>
      <w:bookmarkStart w:id="37" w:name="_Toc213777587"/>
      <w:r>
        <w:t>Online healthcare quality improvement resources</w:t>
      </w:r>
      <w:bookmarkEnd w:id="37"/>
    </w:p>
    <w:p w14:paraId="04A47F9C" w14:textId="77777777" w:rsidR="00CA12E1" w:rsidRDefault="00CA12E1" w:rsidP="00CA12E1">
      <w:pPr>
        <w:widowControl/>
        <w:tabs>
          <w:tab w:val="left" w:pos="1701"/>
          <w:tab w:val="left" w:pos="3261"/>
        </w:tabs>
        <w:autoSpaceDE/>
        <w:autoSpaceDN/>
        <w:spacing w:line="276" w:lineRule="auto"/>
        <w:contextualSpacing/>
      </w:pPr>
      <w:r w:rsidRPr="00D553A8">
        <w:t xml:space="preserve">Online </w:t>
      </w:r>
      <w:r>
        <w:t xml:space="preserve">healthcare </w:t>
      </w:r>
      <w:r w:rsidRPr="00D553A8">
        <w:t>quality improvement resources must be available to accompany the data and support healthcare providers and other audiences to make best use of the data for patient benefit. These may include quality improvement toolkits, case studies, useful links and outputs to empower patients and the public to use the data to understand and self-advocate for their own care</w:t>
      </w:r>
      <w:r>
        <w:t>.</w:t>
      </w:r>
    </w:p>
    <w:p w14:paraId="6BD0BC46" w14:textId="77777777" w:rsidR="001E3288" w:rsidRPr="00D553A8" w:rsidRDefault="001E3288" w:rsidP="001E3288">
      <w:pPr>
        <w:spacing w:line="276" w:lineRule="auto"/>
      </w:pPr>
    </w:p>
    <w:p w14:paraId="29BD223B" w14:textId="77777777" w:rsidR="00CA12E1" w:rsidRPr="00D553A8" w:rsidRDefault="00CA12E1" w:rsidP="00CA12E1">
      <w:pPr>
        <w:pStyle w:val="Heading2"/>
      </w:pPr>
      <w:bookmarkStart w:id="38" w:name="_Toc213777588"/>
      <w:r>
        <w:t>Other output requirements</w:t>
      </w:r>
      <w:bookmarkEnd w:id="38"/>
    </w:p>
    <w:p w14:paraId="57D6E8E1" w14:textId="77777777" w:rsidR="00CA12E1" w:rsidRPr="00D553A8" w:rsidRDefault="00CA12E1" w:rsidP="00CA12E1">
      <w:pPr>
        <w:spacing w:line="276" w:lineRule="auto"/>
      </w:pPr>
      <w:r w:rsidRPr="00D553A8">
        <w:rPr>
          <w:rFonts w:asciiTheme="minorHAnsi" w:hAnsiTheme="minorHAnsi"/>
        </w:rPr>
        <w:t xml:space="preserve">Audit outputs </w:t>
      </w:r>
      <w:r w:rsidRPr="00D553A8">
        <w:t>should be tailored to meet different audiences’ needs to best support local, regional, and national quality improvement:</w:t>
      </w:r>
    </w:p>
    <w:p w14:paraId="6AB0E976" w14:textId="3CBD3894" w:rsidR="00CA12E1" w:rsidRPr="009408EA" w:rsidRDefault="00CA12E1" w:rsidP="00640C59">
      <w:pPr>
        <w:pStyle w:val="ListParagraph"/>
        <w:numPr>
          <w:ilvl w:val="0"/>
          <w:numId w:val="11"/>
        </w:numPr>
        <w:tabs>
          <w:tab w:val="left" w:pos="284"/>
          <w:tab w:val="left" w:pos="1701"/>
          <w:tab w:val="left" w:pos="3261"/>
        </w:tabs>
        <w:contextualSpacing w:val="0"/>
        <w:jc w:val="left"/>
      </w:pPr>
      <w:r w:rsidRPr="009408EA">
        <w:t>If service providers need to view their own data at a more granular level that is potentially disclosive, these views can be made available with suitable access controls</w:t>
      </w:r>
      <w:r w:rsidR="001E3288" w:rsidRPr="009408EA">
        <w:t xml:space="preserve"> e.g. password protected</w:t>
      </w:r>
      <w:r w:rsidRPr="009408EA">
        <w:t xml:space="preserve"> (in line with DSPT requirements)</w:t>
      </w:r>
    </w:p>
    <w:p w14:paraId="1FF93906" w14:textId="400BB5A5" w:rsidR="00CA12E1" w:rsidRPr="00D553A8" w:rsidRDefault="00CA12E1" w:rsidP="00640C59">
      <w:pPr>
        <w:pStyle w:val="ListParagraph"/>
        <w:numPr>
          <w:ilvl w:val="0"/>
          <w:numId w:val="11"/>
        </w:numPr>
        <w:tabs>
          <w:tab w:val="left" w:pos="284"/>
          <w:tab w:val="left" w:pos="1701"/>
          <w:tab w:val="left" w:pos="3261"/>
        </w:tabs>
        <w:contextualSpacing w:val="0"/>
      </w:pPr>
      <w:r w:rsidRPr="00D553A8">
        <w:t>Reporting should allow</w:t>
      </w:r>
      <w:r>
        <w:t xml:space="preserve"> </w:t>
      </w:r>
      <w:r w:rsidRPr="00D553A8">
        <w:t>easy comparison of English providers with other providers in England and Welsh providers with other providers in Wales</w:t>
      </w:r>
      <w:r>
        <w:t xml:space="preserve"> (</w:t>
      </w:r>
      <w:r w:rsidRPr="001C7F5E">
        <w:t>other nations</w:t>
      </w:r>
      <w:r>
        <w:t>’</w:t>
      </w:r>
      <w:r w:rsidRPr="001C7F5E">
        <w:t xml:space="preserve"> reporting requirements will need to be discussed with HQIP </w:t>
      </w:r>
      <w:r w:rsidR="0057476D">
        <w:t>to</w:t>
      </w:r>
      <w:r w:rsidRPr="001C7F5E">
        <w:t xml:space="preserve"> </w:t>
      </w:r>
      <w:proofErr w:type="gramStart"/>
      <w:r w:rsidRPr="001C7F5E">
        <w:t>take into account</w:t>
      </w:r>
      <w:proofErr w:type="gramEnd"/>
      <w:r w:rsidRPr="001C7F5E">
        <w:t xml:space="preserve"> the </w:t>
      </w:r>
      <w:r>
        <w:t>appropriate management</w:t>
      </w:r>
      <w:r w:rsidRPr="001C7F5E">
        <w:t xml:space="preserve"> of small numbers</w:t>
      </w:r>
      <w:r>
        <w:t>)</w:t>
      </w:r>
    </w:p>
    <w:p w14:paraId="370D56E6" w14:textId="77777777" w:rsidR="00CA12E1" w:rsidRPr="00D553A8" w:rsidRDefault="00CA12E1" w:rsidP="00CA12E1">
      <w:pPr>
        <w:spacing w:line="276" w:lineRule="auto"/>
        <w:rPr>
          <w:rFonts w:asciiTheme="minorHAnsi" w:hAnsiTheme="minorHAnsi"/>
        </w:rPr>
      </w:pPr>
    </w:p>
    <w:p w14:paraId="15CB867B" w14:textId="77777777" w:rsidR="00CA12E1" w:rsidRPr="00D553A8" w:rsidRDefault="00CA12E1" w:rsidP="00CA12E1">
      <w:pPr>
        <w:pStyle w:val="xmsolistparagraph"/>
        <w:autoSpaceDE w:val="0"/>
        <w:autoSpaceDN w:val="0"/>
        <w:ind w:left="0"/>
        <w:jc w:val="left"/>
        <w:rPr>
          <w:rFonts w:asciiTheme="minorHAnsi" w:hAnsiTheme="minorHAnsi" w:cstheme="minorHAnsi"/>
          <w:sz w:val="22"/>
          <w:szCs w:val="22"/>
        </w:rPr>
      </w:pPr>
      <w:r w:rsidRPr="00D553A8">
        <w:rPr>
          <w:rFonts w:asciiTheme="minorHAnsi" w:hAnsiTheme="minorHAnsi" w:cstheme="minorHAnsi"/>
          <w:sz w:val="22"/>
          <w:szCs w:val="22"/>
        </w:rPr>
        <w:t xml:space="preserve">This list is not exhaustive and HQIP will work with the supplier to agree granularity and frequency of reporting and the corresponding public accessibility. These will be developed and agreed as part of the </w:t>
      </w:r>
      <w:r>
        <w:rPr>
          <w:rFonts w:asciiTheme="minorHAnsi" w:hAnsiTheme="minorHAnsi" w:cstheme="minorHAnsi"/>
          <w:sz w:val="22"/>
          <w:szCs w:val="22"/>
        </w:rPr>
        <w:t xml:space="preserve">healthcare </w:t>
      </w:r>
      <w:r w:rsidRPr="00D553A8">
        <w:rPr>
          <w:rFonts w:asciiTheme="minorHAnsi" w:hAnsiTheme="minorHAnsi" w:cstheme="minorHAnsi"/>
          <w:sz w:val="22"/>
          <w:szCs w:val="22"/>
        </w:rPr>
        <w:t>quality improvement plan in year 1 of the contract.</w:t>
      </w:r>
    </w:p>
    <w:p w14:paraId="3BF2D6C1" w14:textId="77777777" w:rsidR="00CA12E1" w:rsidRPr="00D553A8" w:rsidRDefault="00CA12E1" w:rsidP="00CA12E1">
      <w:pPr>
        <w:spacing w:line="276" w:lineRule="auto"/>
      </w:pPr>
    </w:p>
    <w:p w14:paraId="6E257B2F" w14:textId="77777777" w:rsidR="00CA12E1" w:rsidRPr="00D553A8" w:rsidRDefault="00CA12E1" w:rsidP="00CA12E1">
      <w:pPr>
        <w:pStyle w:val="Heading2"/>
        <w:spacing w:line="276" w:lineRule="auto"/>
      </w:pPr>
      <w:bookmarkStart w:id="39" w:name="_Toc213777589"/>
      <w:r w:rsidRPr="00D553A8">
        <w:t>Management of outliers</w:t>
      </w:r>
      <w:bookmarkEnd w:id="39"/>
    </w:p>
    <w:p w14:paraId="2EF3A872" w14:textId="711AA867" w:rsidR="00CA12E1" w:rsidRDefault="00CA12E1" w:rsidP="00CA12E1">
      <w:pPr>
        <w:spacing w:line="276" w:lineRule="auto"/>
      </w:pPr>
      <w:r w:rsidRPr="00D553A8">
        <w:t xml:space="preserve">For all NCAPOP projects, it is expected that the latest </w:t>
      </w:r>
      <w:hyperlink r:id="rId12" w:anchor=".YRYy04hKiUk" w:history="1">
        <w:r w:rsidRPr="00D553A8">
          <w:rPr>
            <w:rStyle w:val="Hyperlink"/>
            <w:rFonts w:cs="Calibri"/>
          </w:rPr>
          <w:t>HQIP guidance</w:t>
        </w:r>
      </w:hyperlink>
      <w:r w:rsidRPr="00D553A8">
        <w:t xml:space="preserve"> on the detection and management of outliers will be adopted. </w:t>
      </w:r>
      <w:r w:rsidRPr="00970581">
        <w:t>The supplier is expected to produce and apply their own policy in line with this guidance.</w:t>
      </w:r>
      <w:r>
        <w:t xml:space="preserve"> </w:t>
      </w:r>
      <w:r w:rsidRPr="00D553A8">
        <w:t xml:space="preserve">Should an alternative approach be considered, </w:t>
      </w:r>
      <w:r w:rsidRPr="00970581">
        <w:t>the rationale and methodology</w:t>
      </w:r>
      <w:r>
        <w:t xml:space="preserve"> </w:t>
      </w:r>
      <w:r w:rsidRPr="00D553A8">
        <w:t xml:space="preserve">should be fully explained by the </w:t>
      </w:r>
      <w:r w:rsidR="001E3288" w:rsidRPr="00D553A8">
        <w:t>supplier</w:t>
      </w:r>
      <w:r w:rsidR="001E3288" w:rsidRPr="00970581">
        <w:t xml:space="preserve"> and</w:t>
      </w:r>
      <w:r w:rsidRPr="00970581">
        <w:t xml:space="preserve"> is subject to approval by HQIP</w:t>
      </w:r>
      <w:r w:rsidRPr="00D553A8">
        <w:t>.</w:t>
      </w:r>
    </w:p>
    <w:p w14:paraId="46E0DD8F" w14:textId="77777777" w:rsidR="00AF792B" w:rsidRDefault="00AF792B" w:rsidP="00CA12E1">
      <w:pPr>
        <w:spacing w:line="276" w:lineRule="auto"/>
      </w:pPr>
    </w:p>
    <w:p w14:paraId="7522E07E" w14:textId="39CD8B8E" w:rsidR="00AF792B" w:rsidRDefault="00AF792B" w:rsidP="00AF792B">
      <w:pPr>
        <w:spacing w:line="276" w:lineRule="auto"/>
      </w:pPr>
      <w:r>
        <w:t xml:space="preserve">The provider shall maintain a longitudinal outlier dataset which is intended to monitor changes in status year-on-year. HQIP will work with the supplier to determine what this longitudinal dataset </w:t>
      </w:r>
      <w:r w:rsidR="00415D5E">
        <w:t>tracks,</w:t>
      </w:r>
      <w:r>
        <w:t xml:space="preserve"> but it is likely to identify such things as:</w:t>
      </w:r>
    </w:p>
    <w:p w14:paraId="560B2F05" w14:textId="77777777" w:rsidR="00AF792B" w:rsidRDefault="00AF792B" w:rsidP="00AF792B">
      <w:pPr>
        <w:spacing w:line="276" w:lineRule="auto"/>
        <w:ind w:firstLine="720"/>
      </w:pPr>
      <w:r>
        <w:rPr>
          <w:rFonts w:ascii="Cambria Math" w:hAnsi="Cambria Math" w:cs="Cambria Math"/>
        </w:rPr>
        <w:t>⦁</w:t>
      </w:r>
      <w:r>
        <w:tab/>
        <w:t>Services that consistently remain negative outliers</w:t>
      </w:r>
    </w:p>
    <w:p w14:paraId="0617A65E" w14:textId="77777777" w:rsidR="00AF792B" w:rsidRDefault="00AF792B" w:rsidP="00AF792B">
      <w:pPr>
        <w:spacing w:line="276" w:lineRule="auto"/>
        <w:ind w:firstLine="720"/>
      </w:pPr>
      <w:r>
        <w:rPr>
          <w:rFonts w:ascii="Cambria Math" w:hAnsi="Cambria Math" w:cs="Cambria Math"/>
        </w:rPr>
        <w:t>⦁</w:t>
      </w:r>
      <w:r>
        <w:tab/>
        <w:t>Services that show no or limited improvement over multiple audit cycles</w:t>
      </w:r>
    </w:p>
    <w:p w14:paraId="7E978121" w14:textId="5A2F1B7F" w:rsidR="00AF792B" w:rsidRPr="00D553A8" w:rsidRDefault="00AF792B" w:rsidP="00E931C2">
      <w:pPr>
        <w:spacing w:line="276" w:lineRule="auto"/>
        <w:ind w:firstLine="720"/>
      </w:pPr>
      <w:r>
        <w:rPr>
          <w:rFonts w:ascii="Cambria Math" w:hAnsi="Cambria Math" w:cs="Cambria Math"/>
        </w:rPr>
        <w:t>⦁</w:t>
      </w:r>
      <w:r>
        <w:tab/>
        <w:t>Emerging downward trends in performance</w:t>
      </w:r>
    </w:p>
    <w:p w14:paraId="5491E652" w14:textId="77777777" w:rsidR="00CA12E1" w:rsidRPr="00D553A8" w:rsidRDefault="00CA12E1" w:rsidP="00CA12E1">
      <w:pPr>
        <w:spacing w:line="276" w:lineRule="auto"/>
      </w:pPr>
    </w:p>
    <w:p w14:paraId="7C3DA782" w14:textId="77777777" w:rsidR="00CA12E1" w:rsidRPr="00D553A8" w:rsidRDefault="00CA12E1" w:rsidP="00CA12E1">
      <w:pPr>
        <w:pStyle w:val="Heading2"/>
        <w:spacing w:line="276" w:lineRule="auto"/>
      </w:pPr>
      <w:bookmarkStart w:id="40" w:name="_Toc213777590"/>
      <w:r w:rsidRPr="00D553A8">
        <w:t>Cause for concern</w:t>
      </w:r>
      <w:bookmarkEnd w:id="40"/>
    </w:p>
    <w:p w14:paraId="0A7E5877" w14:textId="13B8C9EA" w:rsidR="00CA12E1" w:rsidRDefault="00CA12E1" w:rsidP="00C35309">
      <w:pPr>
        <w:tabs>
          <w:tab w:val="left" w:pos="1701"/>
          <w:tab w:val="left" w:pos="3261"/>
        </w:tabs>
        <w:spacing w:line="276" w:lineRule="auto"/>
      </w:pPr>
      <w:r w:rsidRPr="00D553A8">
        <w:t xml:space="preserve">For all NCAPOP projects, it is expected that the latest </w:t>
      </w:r>
      <w:hyperlink r:id="rId13" w:anchor=".YRYzGohKiUk" w:history="1">
        <w:r w:rsidRPr="00D553A8">
          <w:rPr>
            <w:rStyle w:val="Hyperlink"/>
            <w:rFonts w:cs="Calibri"/>
          </w:rPr>
          <w:t>HQIP guidance</w:t>
        </w:r>
      </w:hyperlink>
      <w:r w:rsidRPr="00D553A8">
        <w:t xml:space="preserve"> on the identification and management of cause for concern will be followed</w:t>
      </w:r>
      <w:r>
        <w:t xml:space="preserve">. The </w:t>
      </w:r>
      <w:r w:rsidRPr="00970581">
        <w:t>supplier is expected to</w:t>
      </w:r>
      <w:r w:rsidRPr="00D553A8">
        <w:t xml:space="preserve"> produce and apply their own polic</w:t>
      </w:r>
      <w:r>
        <w:t>y</w:t>
      </w:r>
      <w:r w:rsidRPr="00D553A8">
        <w:t xml:space="preserve"> in line with this</w:t>
      </w:r>
      <w:r>
        <w:t xml:space="preserve"> guidance</w:t>
      </w:r>
      <w:r w:rsidRPr="00D553A8">
        <w:t>.</w:t>
      </w:r>
    </w:p>
    <w:p w14:paraId="5E956554" w14:textId="77777777" w:rsidR="00415D5E" w:rsidRDefault="00415D5E" w:rsidP="00C35309">
      <w:pPr>
        <w:tabs>
          <w:tab w:val="left" w:pos="1701"/>
          <w:tab w:val="left" w:pos="3261"/>
        </w:tabs>
        <w:spacing w:line="276" w:lineRule="auto"/>
      </w:pPr>
    </w:p>
    <w:p w14:paraId="260038C6" w14:textId="77777777" w:rsidR="00415D5E" w:rsidRDefault="00415D5E" w:rsidP="00C35309">
      <w:pPr>
        <w:tabs>
          <w:tab w:val="left" w:pos="1701"/>
          <w:tab w:val="left" w:pos="3261"/>
        </w:tabs>
        <w:spacing w:line="276" w:lineRule="auto"/>
      </w:pPr>
    </w:p>
    <w:p w14:paraId="753781D5" w14:textId="77777777" w:rsidR="00415D5E" w:rsidRPr="00CA12E1" w:rsidRDefault="00415D5E" w:rsidP="00C35309">
      <w:pPr>
        <w:tabs>
          <w:tab w:val="left" w:pos="1701"/>
          <w:tab w:val="left" w:pos="3261"/>
        </w:tabs>
        <w:spacing w:line="276" w:lineRule="auto"/>
      </w:pPr>
    </w:p>
    <w:p w14:paraId="061FFA30" w14:textId="77777777" w:rsidR="00BD1959" w:rsidRPr="00D553A8" w:rsidRDefault="00BD1959" w:rsidP="006B1F92">
      <w:pPr>
        <w:pStyle w:val="Heading1"/>
      </w:pPr>
      <w:bookmarkStart w:id="41" w:name="_Toc213777591"/>
      <w:r w:rsidRPr="00D553A8">
        <w:lastRenderedPageBreak/>
        <w:t>Healthcare quality improvement</w:t>
      </w:r>
      <w:bookmarkEnd w:id="41"/>
    </w:p>
    <w:p w14:paraId="13CDC959" w14:textId="6C5812D3" w:rsidR="00BD1959" w:rsidRPr="00D553A8" w:rsidRDefault="00BD1959" w:rsidP="00BD1959">
      <w:pPr>
        <w:pStyle w:val="Heading2"/>
        <w:spacing w:line="276" w:lineRule="auto"/>
      </w:pPr>
      <w:bookmarkStart w:id="42" w:name="_Toc213777592"/>
      <w:r>
        <w:t>Healthcare q</w:t>
      </w:r>
      <w:r w:rsidRPr="00D553A8">
        <w:t>uality improvement plan</w:t>
      </w:r>
      <w:bookmarkEnd w:id="42"/>
      <w:r w:rsidRPr="00D553A8">
        <w:t xml:space="preserve"> </w:t>
      </w:r>
    </w:p>
    <w:p w14:paraId="58B220DD" w14:textId="6DE1E826" w:rsidR="00BD1959" w:rsidRPr="00D553A8" w:rsidRDefault="00BD1959" w:rsidP="00BD1959">
      <w:pPr>
        <w:spacing w:line="276" w:lineRule="auto"/>
      </w:pPr>
      <w:r w:rsidRPr="00D553A8">
        <w:t xml:space="preserve">The supplier must plan from the outset how the audit outputs will stimulate quality improvement. The supplier is expected to develop a </w:t>
      </w:r>
      <w:r w:rsidR="007F4731">
        <w:t xml:space="preserve">healthcare </w:t>
      </w:r>
      <w:r w:rsidRPr="00D553A8">
        <w:t>quality improvement plan early in the contract.</w:t>
      </w:r>
    </w:p>
    <w:p w14:paraId="44A3ADB4" w14:textId="77777777" w:rsidR="00BD1959" w:rsidRPr="00D553A8" w:rsidRDefault="00BD1959" w:rsidP="00BD1959">
      <w:pPr>
        <w:spacing w:line="276" w:lineRule="auto"/>
      </w:pPr>
    </w:p>
    <w:p w14:paraId="15B89464" w14:textId="77777777" w:rsidR="00B5127F" w:rsidRPr="00B5127F" w:rsidRDefault="00B5127F" w:rsidP="00B5127F">
      <w:pPr>
        <w:tabs>
          <w:tab w:val="left" w:pos="1701"/>
          <w:tab w:val="left" w:pos="3261"/>
        </w:tabs>
        <w:spacing w:line="276" w:lineRule="auto"/>
        <w:rPr>
          <w:rFonts w:asciiTheme="minorHAnsi" w:hAnsiTheme="minorHAnsi"/>
        </w:rPr>
      </w:pPr>
      <w:r w:rsidRPr="00B5127F">
        <w:rPr>
          <w:rFonts w:asciiTheme="minorHAnsi" w:hAnsiTheme="minorHAnsi"/>
        </w:rPr>
        <w:t>The plan should include information on:</w:t>
      </w:r>
    </w:p>
    <w:p w14:paraId="6521857C" w14:textId="60B4EC00" w:rsidR="00B5127F" w:rsidRPr="00B62C36" w:rsidRDefault="00130E1C" w:rsidP="00640C59">
      <w:pPr>
        <w:pStyle w:val="ListParagraph"/>
        <w:numPr>
          <w:ilvl w:val="0"/>
          <w:numId w:val="15"/>
        </w:numPr>
        <w:tabs>
          <w:tab w:val="left" w:pos="284"/>
        </w:tabs>
        <w:rPr>
          <w:rFonts w:asciiTheme="minorHAnsi" w:hAnsiTheme="minorHAnsi"/>
        </w:rPr>
      </w:pPr>
      <w:r>
        <w:rPr>
          <w:rFonts w:asciiTheme="minorHAnsi" w:hAnsiTheme="minorHAnsi"/>
        </w:rPr>
        <w:t>The goals and why they were chosen</w:t>
      </w:r>
    </w:p>
    <w:p w14:paraId="520AD8FC" w14:textId="7F4BA231" w:rsidR="00B5127F" w:rsidRPr="00B62C36" w:rsidRDefault="00B5127F" w:rsidP="00640C59">
      <w:pPr>
        <w:pStyle w:val="ListParagraph"/>
        <w:numPr>
          <w:ilvl w:val="0"/>
          <w:numId w:val="15"/>
        </w:numPr>
        <w:tabs>
          <w:tab w:val="left" w:pos="284"/>
        </w:tabs>
        <w:rPr>
          <w:rFonts w:asciiTheme="minorHAnsi" w:hAnsiTheme="minorHAnsi"/>
        </w:rPr>
      </w:pPr>
      <w:r w:rsidRPr="00B62C36">
        <w:rPr>
          <w:rFonts w:asciiTheme="minorHAnsi" w:hAnsiTheme="minorHAnsi"/>
        </w:rPr>
        <w:t>The methods for stimulating healthcare quality improvement at national, regional, and local levels</w:t>
      </w:r>
    </w:p>
    <w:p w14:paraId="05332DD1" w14:textId="139A3B13" w:rsidR="00B5127F" w:rsidRPr="00B62C36" w:rsidRDefault="00B5127F" w:rsidP="00640C59">
      <w:pPr>
        <w:pStyle w:val="ListParagraph"/>
        <w:numPr>
          <w:ilvl w:val="0"/>
          <w:numId w:val="15"/>
        </w:numPr>
        <w:tabs>
          <w:tab w:val="left" w:pos="284"/>
        </w:tabs>
        <w:rPr>
          <w:rFonts w:asciiTheme="minorHAnsi" w:hAnsiTheme="minorHAnsi"/>
        </w:rPr>
      </w:pPr>
      <w:r w:rsidRPr="00B62C36">
        <w:rPr>
          <w:rFonts w:asciiTheme="minorHAnsi" w:hAnsiTheme="minorHAnsi"/>
        </w:rPr>
        <w:t>How the supplier will engage with and influence existing organisations and initiatives who are responsible for delivering improvement, such as health innovation networks, improvement collaboratives, and Getting It Right First Time</w:t>
      </w:r>
      <w:r w:rsidR="0079447F" w:rsidRPr="00B62C36">
        <w:rPr>
          <w:rFonts w:asciiTheme="minorHAnsi" w:hAnsiTheme="minorHAnsi"/>
        </w:rPr>
        <w:t xml:space="preserve"> (GIRFT)</w:t>
      </w:r>
    </w:p>
    <w:p w14:paraId="17715E7B" w14:textId="1ED8F264" w:rsidR="00B5127F" w:rsidRPr="00B62C36" w:rsidRDefault="00B5127F" w:rsidP="00640C59">
      <w:pPr>
        <w:pStyle w:val="ListParagraph"/>
        <w:numPr>
          <w:ilvl w:val="0"/>
          <w:numId w:val="15"/>
        </w:numPr>
        <w:tabs>
          <w:tab w:val="left" w:pos="284"/>
        </w:tabs>
        <w:rPr>
          <w:rFonts w:asciiTheme="minorHAnsi" w:hAnsiTheme="minorHAnsi"/>
        </w:rPr>
      </w:pPr>
      <w:r w:rsidRPr="00B62C36">
        <w:rPr>
          <w:rFonts w:asciiTheme="minorHAnsi" w:hAnsiTheme="minorHAnsi"/>
        </w:rPr>
        <w:t>How patients and the public will be involved in the audit’s healthcare quality improvement activity</w:t>
      </w:r>
    </w:p>
    <w:p w14:paraId="2CB51A67" w14:textId="03D7996F" w:rsidR="00B5127F" w:rsidRPr="00B62C36" w:rsidRDefault="00B5127F" w:rsidP="00640C59">
      <w:pPr>
        <w:pStyle w:val="ListParagraph"/>
        <w:numPr>
          <w:ilvl w:val="0"/>
          <w:numId w:val="15"/>
        </w:numPr>
        <w:tabs>
          <w:tab w:val="left" w:pos="284"/>
        </w:tabs>
        <w:rPr>
          <w:rFonts w:asciiTheme="minorHAnsi" w:hAnsiTheme="minorHAnsi"/>
        </w:rPr>
      </w:pPr>
      <w:bookmarkStart w:id="43" w:name="_Hlk189152463"/>
      <w:r w:rsidRPr="00B62C36">
        <w:rPr>
          <w:rFonts w:asciiTheme="minorHAnsi" w:hAnsiTheme="minorHAnsi"/>
        </w:rPr>
        <w:t>How the impact of the healthcare quality improvement activity will be evaluated, and how the results of that evaluation will inform the ongoing development of the audit’s methodology</w:t>
      </w:r>
    </w:p>
    <w:bookmarkEnd w:id="43"/>
    <w:p w14:paraId="4B5F0FDB" w14:textId="77777777" w:rsidR="00BD1959" w:rsidRPr="00D553A8" w:rsidRDefault="00BD1959" w:rsidP="00BD1959">
      <w:pPr>
        <w:spacing w:line="276" w:lineRule="auto"/>
      </w:pPr>
    </w:p>
    <w:p w14:paraId="005B186C" w14:textId="77777777" w:rsidR="0079447F" w:rsidRDefault="0079447F" w:rsidP="0079447F">
      <w:pPr>
        <w:spacing w:line="276" w:lineRule="auto"/>
      </w:pPr>
      <w:r>
        <w:t>Activities during the plan’s development should include, but are not limited to, the following:</w:t>
      </w:r>
    </w:p>
    <w:p w14:paraId="41C48967" w14:textId="4C3F00B7" w:rsidR="0079447F" w:rsidRDefault="0079447F" w:rsidP="00640C59">
      <w:pPr>
        <w:pStyle w:val="ListParagraph"/>
        <w:numPr>
          <w:ilvl w:val="0"/>
          <w:numId w:val="13"/>
        </w:numPr>
        <w:ind w:left="720"/>
      </w:pPr>
      <w:r>
        <w:t>Developing up to five specific, quantifiable improvement goals for each audit workstream. These goals may change over time</w:t>
      </w:r>
    </w:p>
    <w:p w14:paraId="2BD807AB" w14:textId="68EEA329" w:rsidR="0079447F" w:rsidRDefault="0079447F" w:rsidP="00640C59">
      <w:pPr>
        <w:pStyle w:val="ListParagraph"/>
        <w:numPr>
          <w:ilvl w:val="0"/>
          <w:numId w:val="13"/>
        </w:numPr>
        <w:ind w:left="720"/>
      </w:pPr>
      <w:r>
        <w:t>A prioritisation process for performance metrics to ensure that a maximum of 10 metrics per audit workstream are selected, the reporting of which will support the identified improvement goals. The use of driver diagrams may help with this</w:t>
      </w:r>
    </w:p>
    <w:p w14:paraId="19AAE56B" w14:textId="55A2B785" w:rsidR="0079447F" w:rsidRDefault="0079447F" w:rsidP="00640C59">
      <w:pPr>
        <w:pStyle w:val="ListParagraph"/>
        <w:numPr>
          <w:ilvl w:val="0"/>
          <w:numId w:val="13"/>
        </w:numPr>
        <w:ind w:left="720"/>
      </w:pPr>
      <w:r>
        <w:t>The identification of the key audiences central to achieving the improvement goals, as well as the outputs and support activities needed by each audience to help them improve patient outcomes</w:t>
      </w:r>
    </w:p>
    <w:p w14:paraId="4C2FF97C" w14:textId="5809D4D5" w:rsidR="0079447F" w:rsidRDefault="0079447F" w:rsidP="00640C59">
      <w:pPr>
        <w:pStyle w:val="ListParagraph"/>
        <w:numPr>
          <w:ilvl w:val="0"/>
          <w:numId w:val="13"/>
        </w:numPr>
        <w:ind w:left="720"/>
      </w:pPr>
      <w:r>
        <w:t>Mechanisms to monitor and report achievement against these improvement goals over time</w:t>
      </w:r>
    </w:p>
    <w:p w14:paraId="6782EC0D" w14:textId="5B7338ED" w:rsidR="0079447F" w:rsidRDefault="0079447F" w:rsidP="00640C59">
      <w:pPr>
        <w:pStyle w:val="ListParagraph"/>
        <w:numPr>
          <w:ilvl w:val="0"/>
          <w:numId w:val="13"/>
        </w:numPr>
        <w:ind w:left="720"/>
      </w:pPr>
      <w:r>
        <w:t xml:space="preserve">Determining the optimal frequency and granularity of reporting and the public accessibility, in keeping with the output requirements in this specification </w:t>
      </w:r>
    </w:p>
    <w:p w14:paraId="24A69F0B" w14:textId="03E91D79" w:rsidR="0079447F" w:rsidRDefault="0079447F" w:rsidP="00640C59">
      <w:pPr>
        <w:pStyle w:val="ListParagraph"/>
        <w:numPr>
          <w:ilvl w:val="0"/>
          <w:numId w:val="13"/>
        </w:numPr>
        <w:ind w:left="720"/>
      </w:pPr>
      <w:r>
        <w:t>Communicating with and involving local clinicians, networks, commissioners, charities, community support groups, patients, carers and families in all aspects of the audit with a view to enhancing their use of the data for improvement</w:t>
      </w:r>
    </w:p>
    <w:p w14:paraId="1CA8C0ED" w14:textId="0C728FFF" w:rsidR="0079447F" w:rsidRDefault="0079447F" w:rsidP="00640C59">
      <w:pPr>
        <w:pStyle w:val="ListParagraph"/>
        <w:numPr>
          <w:ilvl w:val="0"/>
          <w:numId w:val="13"/>
        </w:numPr>
        <w:ind w:left="720"/>
      </w:pPr>
      <w:r>
        <w:t>Creating, and making use of, effective partnerships with other organisations working on improvement initiatives at local, regional, and national levels</w:t>
      </w:r>
      <w:r w:rsidRPr="00D553A8">
        <w:t xml:space="preserve"> </w:t>
      </w:r>
    </w:p>
    <w:p w14:paraId="4430E1B4" w14:textId="77777777" w:rsidR="00BD1959" w:rsidRPr="00D553A8" w:rsidRDefault="00BD1959" w:rsidP="00BD1959">
      <w:pPr>
        <w:pStyle w:val="ListParagraph"/>
        <w:jc w:val="left"/>
      </w:pPr>
    </w:p>
    <w:p w14:paraId="13293580" w14:textId="61EDC983" w:rsidR="00BD1959" w:rsidRDefault="00BD1959" w:rsidP="00311E27">
      <w:pPr>
        <w:spacing w:line="276" w:lineRule="auto"/>
      </w:pPr>
      <w:r w:rsidRPr="00D553A8">
        <w:t xml:space="preserve">The </w:t>
      </w:r>
      <w:r w:rsidR="00070865">
        <w:t xml:space="preserve">healthcare </w:t>
      </w:r>
      <w:r w:rsidRPr="00D553A8">
        <w:t>quality improvement plan will be core to contract delivery and must be submitted to HQIP for agreement. Evolving project design should be consistent with the plan and the improvement goals. Progress against the plan should be fully integrated into the project’s communications, reports and other outputs as well as being used to guide future dataset reviews. It is expected that progress against the plan will be reported to the project governance board and made publicly available via the project’s website.</w:t>
      </w:r>
    </w:p>
    <w:p w14:paraId="3F8ADE0B" w14:textId="77777777" w:rsidR="00BD1959" w:rsidRDefault="00BD1959" w:rsidP="00311E27">
      <w:pPr>
        <w:spacing w:line="276" w:lineRule="auto"/>
      </w:pPr>
    </w:p>
    <w:p w14:paraId="1A9397F2" w14:textId="357C3D10" w:rsidR="009C76B4" w:rsidRDefault="009C76B4" w:rsidP="00222663">
      <w:pPr>
        <w:pStyle w:val="Heading2"/>
      </w:pPr>
      <w:bookmarkStart w:id="44" w:name="_Toc213777593"/>
      <w:r w:rsidRPr="009C76B4">
        <w:t>Healthcare quality improvement ambitions</w:t>
      </w:r>
      <w:bookmarkEnd w:id="44"/>
    </w:p>
    <w:p w14:paraId="3B071F67" w14:textId="0E93FBF5" w:rsidR="008F5EF5" w:rsidRDefault="008F5EF5" w:rsidP="008F5EF5">
      <w:pPr>
        <w:spacing w:after="120" w:line="276" w:lineRule="auto"/>
      </w:pPr>
      <w:r>
        <w:t>NHS England and Welsh Government’s improvement goals are:</w:t>
      </w:r>
    </w:p>
    <w:p w14:paraId="1B4C910E" w14:textId="77777777" w:rsidR="008F5EF5" w:rsidRDefault="008F5EF5" w:rsidP="008F5EF5">
      <w:pPr>
        <w:pStyle w:val="ListParagraph"/>
        <w:numPr>
          <w:ilvl w:val="0"/>
          <w:numId w:val="27"/>
        </w:numPr>
        <w:spacing w:after="120"/>
      </w:pPr>
      <w:r>
        <w:t>Supporting the mental health and wellbeing of children with epilepsy</w:t>
      </w:r>
    </w:p>
    <w:p w14:paraId="6365895F" w14:textId="3E797E45" w:rsidR="008F5EF5" w:rsidRDefault="008F5EF5" w:rsidP="008F5EF5">
      <w:pPr>
        <w:pStyle w:val="ListParagraph"/>
        <w:numPr>
          <w:ilvl w:val="0"/>
          <w:numId w:val="27"/>
        </w:numPr>
        <w:spacing w:after="120"/>
      </w:pPr>
      <w:r>
        <w:t>Improving referrals into tertiary services and the Children’s Epilepsy Surgery Service (CESS)</w:t>
      </w:r>
    </w:p>
    <w:p w14:paraId="4953DFB2" w14:textId="77777777" w:rsidR="008F5EF5" w:rsidRDefault="008F5EF5" w:rsidP="008F5EF5">
      <w:pPr>
        <w:pStyle w:val="ListParagraph"/>
        <w:numPr>
          <w:ilvl w:val="0"/>
          <w:numId w:val="27"/>
        </w:numPr>
        <w:spacing w:after="120"/>
      </w:pPr>
      <w:r>
        <w:t>Improving the transition from paediatric to adult epilepsy services</w:t>
      </w:r>
    </w:p>
    <w:p w14:paraId="31B995DE" w14:textId="77777777" w:rsidR="008F5EF5" w:rsidRDefault="008F5EF5" w:rsidP="00E931C2">
      <w:pPr>
        <w:pStyle w:val="ListParagraph"/>
        <w:numPr>
          <w:ilvl w:val="0"/>
          <w:numId w:val="27"/>
        </w:numPr>
        <w:ind w:left="714" w:hanging="357"/>
        <w:contextualSpacing w:val="0"/>
      </w:pPr>
      <w:r>
        <w:lastRenderedPageBreak/>
        <w:t>Addressing variation in care deliver (e.g. access to epilepsy specialist nurses)</w:t>
      </w:r>
    </w:p>
    <w:p w14:paraId="6B414B21" w14:textId="77777777" w:rsidR="008F5EF5" w:rsidRDefault="008F5EF5" w:rsidP="00E931C2">
      <w:pPr>
        <w:spacing w:line="276" w:lineRule="auto"/>
      </w:pPr>
    </w:p>
    <w:p w14:paraId="6BF8A40E" w14:textId="15FA8976" w:rsidR="00C17A67" w:rsidRDefault="008F5EF5" w:rsidP="00E931C2">
      <w:pPr>
        <w:spacing w:after="120" w:line="276" w:lineRule="auto"/>
      </w:pPr>
      <w:r>
        <w:t xml:space="preserve">These closely align with the current healthcare quality improvement strategy, which focuses on reducing </w:t>
      </w:r>
      <w:r w:rsidR="00C17A67">
        <w:t>unwarranted variation and improving clinical outcomes through five defined Health Improvement Goals:</w:t>
      </w:r>
    </w:p>
    <w:p w14:paraId="1B65600D" w14:textId="77777777" w:rsidR="00C17A67" w:rsidRDefault="00C17A67" w:rsidP="00C17A67">
      <w:pPr>
        <w:spacing w:line="276" w:lineRule="auto"/>
        <w:ind w:left="284"/>
      </w:pPr>
      <w:r>
        <w:t>(1) increasing access to Epilepsy Specialist Nurses (ESNs)</w:t>
      </w:r>
    </w:p>
    <w:p w14:paraId="2541FF8F" w14:textId="77777777" w:rsidR="00C17A67" w:rsidRDefault="00C17A67" w:rsidP="00C17A67">
      <w:pPr>
        <w:spacing w:line="276" w:lineRule="auto"/>
        <w:ind w:left="284"/>
      </w:pPr>
      <w:r>
        <w:t>(2) increasing specialist tertiary input for complex epilepsy</w:t>
      </w:r>
    </w:p>
    <w:p w14:paraId="19C6AA9E" w14:textId="47783069" w:rsidR="00C17A67" w:rsidRDefault="00C17A67" w:rsidP="00C17A67">
      <w:pPr>
        <w:spacing w:line="276" w:lineRule="auto"/>
        <w:ind w:left="284"/>
      </w:pPr>
      <w:r>
        <w:t>(3) improving the completeness and quality of care planning (including S</w:t>
      </w:r>
      <w:r w:rsidR="00B44A19">
        <w:t>udden Unexpected Death in Epilepsy aka SUDEP</w:t>
      </w:r>
      <w:r>
        <w:t>)</w:t>
      </w:r>
    </w:p>
    <w:p w14:paraId="0547212C" w14:textId="77777777" w:rsidR="00C17A67" w:rsidRDefault="00C17A67" w:rsidP="00C17A67">
      <w:pPr>
        <w:spacing w:line="276" w:lineRule="auto"/>
        <w:ind w:left="284"/>
      </w:pPr>
      <w:r>
        <w:t>(4) strengthening structured transition to adult services</w:t>
      </w:r>
    </w:p>
    <w:p w14:paraId="09D6A1FA" w14:textId="131743F6" w:rsidR="00C17A67" w:rsidRDefault="00C17A67" w:rsidP="00C17A67">
      <w:pPr>
        <w:spacing w:line="276" w:lineRule="auto"/>
        <w:ind w:left="284"/>
      </w:pPr>
      <w:r>
        <w:t>(5) improving identification and management of mental health needs.</w:t>
      </w:r>
    </w:p>
    <w:p w14:paraId="0A10ACFF" w14:textId="77777777" w:rsidR="00C17A67" w:rsidRDefault="00C17A67" w:rsidP="00C17A67">
      <w:pPr>
        <w:spacing w:line="276" w:lineRule="auto"/>
      </w:pPr>
    </w:p>
    <w:p w14:paraId="797FAF7E" w14:textId="7CDC6AA5" w:rsidR="00C17A67" w:rsidRDefault="00C17A67" w:rsidP="00C17A67">
      <w:pPr>
        <w:spacing w:line="276" w:lineRule="auto"/>
      </w:pPr>
      <w:r>
        <w:t>Stakeholders involved in specification development identified several evolving priorities for the next audit period. These include embedding more outcome-focused measures alongside existing process indicators, enhancing visibility of SUDEP risk communication, and strengthening data linkage across systems (including EPRs, primary care, and education data) to build a more holistic view of children’s health and wellbeing. Stakeholders also emphasised the importance of using audit data to assess impact at family and system level e.g. capturing patient-reported experience and outcome measures (PREMs and PROMs), and of ensuring greater integration with national initiatives such as the Core20PLUS5 framework and the NHS England Epilepsy Transformation Programme.</w:t>
      </w:r>
    </w:p>
    <w:p w14:paraId="327C67CA" w14:textId="77777777" w:rsidR="00C17A67" w:rsidRDefault="00C17A67" w:rsidP="00C17A67">
      <w:pPr>
        <w:spacing w:line="276" w:lineRule="auto"/>
      </w:pPr>
    </w:p>
    <w:p w14:paraId="68E33AD2" w14:textId="36FBD281" w:rsidR="00C17A67" w:rsidRDefault="00C17A67" w:rsidP="00C17A67">
      <w:pPr>
        <w:spacing w:line="276" w:lineRule="auto"/>
        <w:rPr>
          <w:highlight w:val="yellow"/>
        </w:rPr>
      </w:pPr>
      <w:r>
        <w:t xml:space="preserve">The next phase of quality improvement for the audit will therefore build on the established QI infrastructure </w:t>
      </w:r>
      <w:r w:rsidR="002A5F66">
        <w:t xml:space="preserve">with particular emphasis on NHS England and NHS Wales priorities </w:t>
      </w:r>
      <w:r>
        <w:t xml:space="preserve">while advancing towards a more connected, patient-centred, and outcome-orientated model. The programme will continue to co-produce improvement activities with young people, families, and voluntary sector partners; </w:t>
      </w:r>
      <w:r w:rsidR="007F66BD">
        <w:t>support</w:t>
      </w:r>
      <w:r>
        <w:t xml:space="preserve"> local improvement capability and regional learning collaboratives; and promote equitable, timely, and evidence-based care for all children and young people living with epilepsy.</w:t>
      </w:r>
    </w:p>
    <w:p w14:paraId="2897830D" w14:textId="11C8DBE5" w:rsidR="00D5357E" w:rsidRPr="00D553A8" w:rsidRDefault="00316AE0" w:rsidP="006B1F92">
      <w:pPr>
        <w:pStyle w:val="Heading1"/>
      </w:pPr>
      <w:bookmarkStart w:id="45" w:name="_Toc444609500"/>
      <w:bookmarkStart w:id="46" w:name="_Toc459385864"/>
      <w:bookmarkStart w:id="47" w:name="_Toc497210990"/>
      <w:bookmarkStart w:id="48" w:name="_Toc72250658"/>
      <w:bookmarkStart w:id="49" w:name="_Toc77029459"/>
      <w:bookmarkStart w:id="50" w:name="_Toc77079456"/>
      <w:bookmarkStart w:id="51" w:name="_Toc78192693"/>
      <w:bookmarkStart w:id="52" w:name="_Toc213777594"/>
      <w:bookmarkEnd w:id="21"/>
      <w:r>
        <w:t>G</w:t>
      </w:r>
      <w:r w:rsidR="00D5357E" w:rsidRPr="00D553A8">
        <w:t>overnance</w:t>
      </w:r>
      <w:r>
        <w:t>, leadership and expertise</w:t>
      </w:r>
      <w:bookmarkStart w:id="53" w:name="_Toc314476000"/>
      <w:bookmarkEnd w:id="45"/>
      <w:bookmarkEnd w:id="46"/>
      <w:bookmarkEnd w:id="47"/>
      <w:bookmarkEnd w:id="48"/>
      <w:bookmarkEnd w:id="49"/>
      <w:bookmarkEnd w:id="50"/>
      <w:bookmarkEnd w:id="51"/>
      <w:bookmarkEnd w:id="52"/>
    </w:p>
    <w:p w14:paraId="578B5579" w14:textId="2235CE24" w:rsidR="004B6C80" w:rsidRPr="00D553A8" w:rsidRDefault="009C76B4" w:rsidP="00311E27">
      <w:pPr>
        <w:pStyle w:val="Heading2"/>
        <w:spacing w:line="276" w:lineRule="auto"/>
      </w:pPr>
      <w:bookmarkStart w:id="54" w:name="_Toc213777595"/>
      <w:r>
        <w:t>Go</w:t>
      </w:r>
      <w:r w:rsidR="004B6C80" w:rsidRPr="00D553A8">
        <w:t>vernance structure</w:t>
      </w:r>
      <w:bookmarkEnd w:id="54"/>
    </w:p>
    <w:p w14:paraId="175AF54D" w14:textId="510AB3A0" w:rsidR="00570008" w:rsidRPr="00D553A8" w:rsidRDefault="004B6C80" w:rsidP="00311E27">
      <w:pPr>
        <w:tabs>
          <w:tab w:val="left" w:pos="1701"/>
          <w:tab w:val="left" w:pos="3261"/>
        </w:tabs>
        <w:spacing w:line="276" w:lineRule="auto"/>
        <w:rPr>
          <w:rFonts w:asciiTheme="minorHAnsi" w:hAnsiTheme="minorHAnsi"/>
        </w:rPr>
      </w:pPr>
      <w:r w:rsidRPr="00D553A8">
        <w:t xml:space="preserve">The project must be governed by a robust management structure with defined governance groups, designed to maximise effectiveness. </w:t>
      </w:r>
      <w:r w:rsidRPr="00D553A8">
        <w:rPr>
          <w:rFonts w:asciiTheme="minorHAnsi" w:hAnsiTheme="minorHAnsi"/>
        </w:rPr>
        <w:t xml:space="preserve">The decision making, reporting, and accountability hierarchies must be explicit. HQIP must be included in the membership of the supplier’s highest level project </w:t>
      </w:r>
      <w:r w:rsidR="00F63F26" w:rsidRPr="00D553A8">
        <w:rPr>
          <w:rFonts w:asciiTheme="minorHAnsi" w:hAnsiTheme="minorHAnsi"/>
        </w:rPr>
        <w:t>governance group, normally the p</w:t>
      </w:r>
      <w:r w:rsidRPr="00D553A8">
        <w:rPr>
          <w:rFonts w:asciiTheme="minorHAnsi" w:hAnsiTheme="minorHAnsi"/>
        </w:rPr>
        <w:t>rogramme</w:t>
      </w:r>
      <w:r w:rsidR="001E6BCF" w:rsidRPr="00D553A8">
        <w:rPr>
          <w:rFonts w:asciiTheme="minorHAnsi" w:hAnsiTheme="minorHAnsi"/>
        </w:rPr>
        <w:t>/</w:t>
      </w:r>
      <w:r w:rsidR="00F63F26" w:rsidRPr="00D553A8">
        <w:rPr>
          <w:rFonts w:asciiTheme="minorHAnsi" w:hAnsiTheme="minorHAnsi"/>
        </w:rPr>
        <w:t>p</w:t>
      </w:r>
      <w:r w:rsidR="001E6BCF" w:rsidRPr="00D553A8">
        <w:rPr>
          <w:rFonts w:asciiTheme="minorHAnsi" w:hAnsiTheme="minorHAnsi"/>
        </w:rPr>
        <w:t>roject</w:t>
      </w:r>
      <w:r w:rsidR="00F63F26" w:rsidRPr="00D553A8">
        <w:rPr>
          <w:rFonts w:asciiTheme="minorHAnsi" w:hAnsiTheme="minorHAnsi"/>
        </w:rPr>
        <w:t xml:space="preserve"> b</w:t>
      </w:r>
      <w:r w:rsidRPr="00D553A8">
        <w:rPr>
          <w:rFonts w:asciiTheme="minorHAnsi" w:hAnsiTheme="minorHAnsi"/>
        </w:rPr>
        <w:t>oard.</w:t>
      </w:r>
      <w:r w:rsidR="00EF5C7F" w:rsidRPr="00D553A8">
        <w:rPr>
          <w:rFonts w:asciiTheme="minorHAnsi" w:hAnsiTheme="minorHAnsi"/>
        </w:rPr>
        <w:t xml:space="preserve"> </w:t>
      </w:r>
      <w:r w:rsidR="00EF5C7F" w:rsidRPr="00D553A8">
        <w:t>An approved representative from each funder (usually NHS England and Welsh Government) should sit on the group which decides on audit metrics, and the ratification of metrics will be by the funders.</w:t>
      </w:r>
      <w:r w:rsidRPr="00D553A8">
        <w:rPr>
          <w:rFonts w:asciiTheme="minorHAnsi" w:hAnsiTheme="minorHAnsi"/>
        </w:rPr>
        <w:t xml:space="preserve"> Details of the structure should be included in </w:t>
      </w:r>
      <w:r w:rsidR="00FD0EE2" w:rsidRPr="00D553A8">
        <w:rPr>
          <w:rFonts w:asciiTheme="minorHAnsi" w:hAnsiTheme="minorHAnsi"/>
        </w:rPr>
        <w:t xml:space="preserve">the </w:t>
      </w:r>
      <w:r w:rsidRPr="00D553A8">
        <w:rPr>
          <w:rFonts w:asciiTheme="minorHAnsi" w:hAnsiTheme="minorHAnsi"/>
        </w:rPr>
        <w:t>tender along with any other proposed mechanisms for achieving project governance.</w:t>
      </w:r>
    </w:p>
    <w:p w14:paraId="1781457F" w14:textId="77777777" w:rsidR="00570008" w:rsidRPr="00D553A8" w:rsidRDefault="00570008" w:rsidP="00311E27">
      <w:pPr>
        <w:tabs>
          <w:tab w:val="left" w:pos="1701"/>
          <w:tab w:val="left" w:pos="3261"/>
        </w:tabs>
        <w:spacing w:line="276" w:lineRule="auto"/>
        <w:rPr>
          <w:rFonts w:asciiTheme="minorHAnsi" w:hAnsiTheme="minorHAnsi"/>
        </w:rPr>
      </w:pPr>
    </w:p>
    <w:p w14:paraId="5553C74B" w14:textId="77777777" w:rsidR="004B6C80" w:rsidRPr="00D553A8" w:rsidRDefault="004B6C80" w:rsidP="00311E27">
      <w:pPr>
        <w:tabs>
          <w:tab w:val="left" w:pos="1701"/>
          <w:tab w:val="left" w:pos="3261"/>
        </w:tabs>
        <w:spacing w:line="276" w:lineRule="auto"/>
        <w:rPr>
          <w:rFonts w:asciiTheme="minorHAnsi" w:hAnsiTheme="minorHAnsi"/>
        </w:rPr>
      </w:pPr>
      <w:r w:rsidRPr="00D553A8">
        <w:rPr>
          <w:rFonts w:asciiTheme="minorHAnsi" w:hAnsiTheme="minorHAnsi"/>
        </w:rPr>
        <w:t>Typical governance structures include:</w:t>
      </w:r>
    </w:p>
    <w:p w14:paraId="0A115DE5" w14:textId="77777777" w:rsidR="004B6C80" w:rsidRPr="00D553A8" w:rsidRDefault="004B6C80" w:rsidP="00640C59">
      <w:pPr>
        <w:pStyle w:val="ListParagraph"/>
        <w:numPr>
          <w:ilvl w:val="0"/>
          <w:numId w:val="5"/>
        </w:numPr>
        <w:jc w:val="left"/>
      </w:pPr>
      <w:r w:rsidRPr="00D553A8">
        <w:t xml:space="preserve">Accountable host </w:t>
      </w:r>
      <w:r w:rsidR="00B63C36" w:rsidRPr="00D553A8">
        <w:t xml:space="preserve">senior responsible </w:t>
      </w:r>
      <w:r w:rsidR="007B497B" w:rsidRPr="00D553A8">
        <w:t>officer</w:t>
      </w:r>
    </w:p>
    <w:p w14:paraId="574BBEE8" w14:textId="03A5C514" w:rsidR="004B6C80" w:rsidRPr="00D553A8" w:rsidRDefault="004B6C80" w:rsidP="00640C59">
      <w:pPr>
        <w:pStyle w:val="ListParagraph"/>
        <w:numPr>
          <w:ilvl w:val="0"/>
          <w:numId w:val="5"/>
        </w:numPr>
        <w:jc w:val="left"/>
      </w:pPr>
      <w:r w:rsidRPr="00D553A8">
        <w:t>Pro</w:t>
      </w:r>
      <w:r w:rsidR="00B63C36" w:rsidRPr="00D553A8">
        <w:t>gramme</w:t>
      </w:r>
      <w:r w:rsidR="001E6BCF" w:rsidRPr="00D553A8">
        <w:t>/</w:t>
      </w:r>
      <w:r w:rsidR="00F63F26" w:rsidRPr="00D553A8">
        <w:t>p</w:t>
      </w:r>
      <w:r w:rsidR="001E6BCF" w:rsidRPr="00D553A8">
        <w:t>roject</w:t>
      </w:r>
      <w:r w:rsidRPr="00D553A8">
        <w:t xml:space="preserve"> </w:t>
      </w:r>
      <w:r w:rsidR="00F63F26" w:rsidRPr="00D553A8">
        <w:t>b</w:t>
      </w:r>
      <w:r w:rsidR="007B497B" w:rsidRPr="00D553A8">
        <w:t>oard</w:t>
      </w:r>
    </w:p>
    <w:p w14:paraId="0FE7A446" w14:textId="7F321E12" w:rsidR="004B6C80" w:rsidRPr="00D553A8" w:rsidRDefault="004B6C80" w:rsidP="00640C59">
      <w:pPr>
        <w:pStyle w:val="ListParagraph"/>
        <w:numPr>
          <w:ilvl w:val="0"/>
          <w:numId w:val="5"/>
        </w:numPr>
        <w:jc w:val="left"/>
      </w:pPr>
      <w:r w:rsidRPr="00D553A8">
        <w:t>Project steering group/clinical reference group</w:t>
      </w:r>
    </w:p>
    <w:p w14:paraId="4495CAAD" w14:textId="77777777" w:rsidR="00B63C36" w:rsidRPr="00D553A8" w:rsidRDefault="007B497B" w:rsidP="00640C59">
      <w:pPr>
        <w:pStyle w:val="ListParagraph"/>
        <w:numPr>
          <w:ilvl w:val="0"/>
          <w:numId w:val="5"/>
        </w:numPr>
        <w:jc w:val="left"/>
      </w:pPr>
      <w:r w:rsidRPr="00D553A8">
        <w:t>Project technical team</w:t>
      </w:r>
    </w:p>
    <w:p w14:paraId="418D1FFF" w14:textId="7A5889B7" w:rsidR="004B6C80" w:rsidRDefault="004B6C80" w:rsidP="00640C59">
      <w:pPr>
        <w:pStyle w:val="ListParagraph"/>
        <w:numPr>
          <w:ilvl w:val="0"/>
          <w:numId w:val="5"/>
        </w:numPr>
        <w:jc w:val="left"/>
      </w:pPr>
      <w:r w:rsidRPr="00D553A8">
        <w:t xml:space="preserve">Stakeholder group representing </w:t>
      </w:r>
      <w:r w:rsidR="00EB35DE">
        <w:t>patients</w:t>
      </w:r>
      <w:r w:rsidRPr="00D553A8">
        <w:t xml:space="preserve"> and voluntary groups, supported by pa</w:t>
      </w:r>
      <w:r w:rsidR="007B497B" w:rsidRPr="00D553A8">
        <w:t>tient charities</w:t>
      </w:r>
    </w:p>
    <w:p w14:paraId="4EF2B1E7" w14:textId="7EC44F03" w:rsidR="00AE171F" w:rsidRPr="00D553A8" w:rsidRDefault="00AE171F" w:rsidP="007A5072">
      <w:r>
        <w:lastRenderedPageBreak/>
        <w:t xml:space="preserve">Suppliers </w:t>
      </w:r>
      <w:r w:rsidR="00974FCE">
        <w:t>must</w:t>
      </w:r>
      <w:r>
        <w:t xml:space="preserve"> ensure that </w:t>
      </w:r>
      <w:r w:rsidR="00974FCE">
        <w:t>team members follow behaviour and code of conduct expectations, in line with the requirements outlined in the Provider Technical Manual</w:t>
      </w:r>
      <w:r w:rsidR="00237C94">
        <w:t>.</w:t>
      </w:r>
      <w:r w:rsidR="00974FCE">
        <w:t xml:space="preserve">  </w:t>
      </w:r>
    </w:p>
    <w:p w14:paraId="5E11489C" w14:textId="77777777" w:rsidR="004B6C80" w:rsidRPr="00D553A8" w:rsidRDefault="004B6C80" w:rsidP="00311E27">
      <w:pPr>
        <w:spacing w:line="276" w:lineRule="auto"/>
      </w:pPr>
    </w:p>
    <w:p w14:paraId="30342F85" w14:textId="655A16F2" w:rsidR="001D63E6" w:rsidRDefault="009C76B4" w:rsidP="009C6613">
      <w:pPr>
        <w:pStyle w:val="Heading2"/>
        <w:spacing w:line="276" w:lineRule="auto"/>
      </w:pPr>
      <w:bookmarkStart w:id="55" w:name="_Toc213777596"/>
      <w:r>
        <w:t>Te</w:t>
      </w:r>
      <w:r w:rsidR="004B6C80" w:rsidRPr="00D553A8">
        <w:t>chnical team</w:t>
      </w:r>
      <w:r w:rsidR="00316AE0">
        <w:t xml:space="preserve"> expertise</w:t>
      </w:r>
      <w:bookmarkStart w:id="56" w:name="_Toc444609501"/>
      <w:bookmarkStart w:id="57" w:name="_Toc459385865"/>
      <w:bookmarkStart w:id="58" w:name="_Toc497210991"/>
      <w:bookmarkStart w:id="59" w:name="_Toc72250659"/>
      <w:bookmarkStart w:id="60" w:name="_Toc77029460"/>
      <w:bookmarkStart w:id="61" w:name="_Toc77079457"/>
      <w:bookmarkStart w:id="62" w:name="_Toc78192694"/>
      <w:bookmarkEnd w:id="55"/>
    </w:p>
    <w:p w14:paraId="5D0FBF95" w14:textId="77777777" w:rsidR="00D5357E" w:rsidRPr="00D553A8" w:rsidRDefault="00D5357E" w:rsidP="00311E27">
      <w:pPr>
        <w:pStyle w:val="Heading3"/>
        <w:spacing w:before="0" w:line="276" w:lineRule="auto"/>
      </w:pPr>
      <w:bookmarkStart w:id="63" w:name="_Toc213777597"/>
      <w:r w:rsidRPr="00D553A8">
        <w:t>Clinical leadership</w:t>
      </w:r>
      <w:bookmarkEnd w:id="53"/>
      <w:bookmarkEnd w:id="56"/>
      <w:bookmarkEnd w:id="57"/>
      <w:bookmarkEnd w:id="58"/>
      <w:bookmarkEnd w:id="59"/>
      <w:bookmarkEnd w:id="60"/>
      <w:bookmarkEnd w:id="61"/>
      <w:bookmarkEnd w:id="62"/>
      <w:bookmarkEnd w:id="63"/>
    </w:p>
    <w:p w14:paraId="40358ECC" w14:textId="0505D068" w:rsidR="00D5357E" w:rsidRPr="00D553A8" w:rsidRDefault="00D5357E" w:rsidP="00311E27">
      <w:pPr>
        <w:tabs>
          <w:tab w:val="left" w:pos="1701"/>
          <w:tab w:val="left" w:pos="3261"/>
        </w:tabs>
        <w:spacing w:line="276" w:lineRule="auto"/>
      </w:pPr>
      <w:r w:rsidRPr="00D553A8">
        <w:t xml:space="preserve">Effective clinical leadership must be integral to the </w:t>
      </w:r>
      <w:r w:rsidR="00F00E2F" w:rsidRPr="00D553A8">
        <w:t xml:space="preserve">planning and </w:t>
      </w:r>
      <w:r w:rsidRPr="00D553A8">
        <w:t xml:space="preserve">delivery. In this context, clinical leadership means that individual(s) have relevant clinical expertise, appropriate experience of national project delivery, and demonstrably high professional peer authority, </w:t>
      </w:r>
      <w:r w:rsidR="0057476D">
        <w:t>to</w:t>
      </w:r>
      <w:r w:rsidRPr="00D553A8">
        <w:t xml:space="preserve"> be integral to the project’s governance to lead the project. It is essential that clinical leaders represent the specialties responsible for delivery of the care that is being reviewed</w:t>
      </w:r>
      <w:r w:rsidR="00FD0EE2" w:rsidRPr="00D553A8">
        <w:t>,</w:t>
      </w:r>
      <w:r w:rsidRPr="00D553A8">
        <w:t xml:space="preserve"> as these are the clinicians who will need to accept the findings and lead service improvements. It is required that </w:t>
      </w:r>
      <w:r w:rsidR="00233E5F" w:rsidRPr="00D553A8">
        <w:t xml:space="preserve">bidders </w:t>
      </w:r>
      <w:r w:rsidRPr="00D553A8">
        <w:t>include resourced, dedicated clinical time in the costings for the bid. The time and costs allocated to clinical leadership should reflect sufficient time commitment and e</w:t>
      </w:r>
      <w:r w:rsidR="007B497B" w:rsidRPr="00D553A8">
        <w:t>xpertise of the individual(s).</w:t>
      </w:r>
    </w:p>
    <w:p w14:paraId="61B3EF84" w14:textId="77777777" w:rsidR="00D5357E" w:rsidRPr="00D553A8" w:rsidRDefault="00D5357E" w:rsidP="00311E27">
      <w:pPr>
        <w:tabs>
          <w:tab w:val="left" w:pos="1701"/>
          <w:tab w:val="left" w:pos="3261"/>
        </w:tabs>
        <w:spacing w:line="276" w:lineRule="auto"/>
      </w:pPr>
    </w:p>
    <w:p w14:paraId="4EF878C3" w14:textId="4A169EE7" w:rsidR="00D5357E" w:rsidRPr="00D553A8" w:rsidRDefault="00D5357E" w:rsidP="00311E27">
      <w:pPr>
        <w:pStyle w:val="Heading3"/>
        <w:spacing w:before="0" w:line="276" w:lineRule="auto"/>
      </w:pPr>
      <w:bookmarkStart w:id="64" w:name="_Toc72250660"/>
      <w:bookmarkStart w:id="65" w:name="_Toc77029461"/>
      <w:bookmarkStart w:id="66" w:name="_Toc77079458"/>
      <w:bookmarkStart w:id="67" w:name="_Toc78192695"/>
      <w:bookmarkStart w:id="68" w:name="_Toc213777598"/>
      <w:bookmarkStart w:id="69" w:name="_Toc314476001"/>
      <w:bookmarkStart w:id="70" w:name="_Toc444609502"/>
      <w:bookmarkStart w:id="71" w:name="_Toc459385866"/>
      <w:bookmarkStart w:id="72" w:name="_Toc497210992"/>
      <w:r w:rsidRPr="00D553A8">
        <w:t>Healthcare</w:t>
      </w:r>
      <w:r w:rsidR="00670C19" w:rsidRPr="00D553A8">
        <w:t xml:space="preserve"> quality</w:t>
      </w:r>
      <w:r w:rsidRPr="00D553A8">
        <w:t xml:space="preserve"> improvement</w:t>
      </w:r>
      <w:bookmarkEnd w:id="64"/>
      <w:bookmarkEnd w:id="65"/>
      <w:bookmarkEnd w:id="66"/>
      <w:bookmarkEnd w:id="67"/>
      <w:r w:rsidR="00CA12E1">
        <w:t xml:space="preserve"> expertise</w:t>
      </w:r>
      <w:bookmarkEnd w:id="68"/>
    </w:p>
    <w:p w14:paraId="2D3DBA91" w14:textId="21ECA475" w:rsidR="00D5357E" w:rsidRPr="00D553A8" w:rsidRDefault="00D5357E" w:rsidP="00311E27">
      <w:pPr>
        <w:spacing w:line="276" w:lineRule="auto"/>
        <w:rPr>
          <w:bCs/>
          <w:color w:val="4F81BD"/>
          <w:sz w:val="26"/>
          <w:szCs w:val="26"/>
        </w:rPr>
      </w:pPr>
      <w:r w:rsidRPr="00D553A8">
        <w:t>Expertise and leadership in healthcare</w:t>
      </w:r>
      <w:r w:rsidR="00670C19" w:rsidRPr="00D553A8">
        <w:t xml:space="preserve"> quality</w:t>
      </w:r>
      <w:r w:rsidRPr="00D553A8">
        <w:t xml:space="preserve"> improvement must be available to the project from the outset and throughout the duration of the contract. This expertise may be provided by an individual who is a member of the project team or sourced through a subcontract with an individual or organisation expert in healthcare </w:t>
      </w:r>
      <w:r w:rsidR="00E94752" w:rsidRPr="00D553A8">
        <w:t xml:space="preserve">quality </w:t>
      </w:r>
      <w:r w:rsidRPr="00D553A8">
        <w:t>improvement. The expert will lead the development, implementation and impac</w:t>
      </w:r>
      <w:r w:rsidR="0089136E" w:rsidRPr="00D553A8">
        <w:t xml:space="preserve">t measurement of the project’s </w:t>
      </w:r>
      <w:r w:rsidR="00070865">
        <w:t xml:space="preserve">healthcare </w:t>
      </w:r>
      <w:r w:rsidR="00E94752" w:rsidRPr="00D553A8">
        <w:t xml:space="preserve">quality </w:t>
      </w:r>
      <w:r w:rsidR="0089136E" w:rsidRPr="00D553A8">
        <w:t>improvement p</w:t>
      </w:r>
      <w:r w:rsidRPr="00D553A8">
        <w:t>lan, drawing on their knowledge of local healthcare provider culture, resources, and skills, and the breadth of local</w:t>
      </w:r>
      <w:r w:rsidR="00E94752" w:rsidRPr="00D553A8">
        <w:t xml:space="preserve"> quality</w:t>
      </w:r>
      <w:r w:rsidRPr="00D553A8">
        <w:t xml:space="preserve"> improvement methodologies currently in use. Expertise should also include effecting </w:t>
      </w:r>
      <w:r w:rsidR="00E94752" w:rsidRPr="00D553A8">
        <w:t xml:space="preserve">quality </w:t>
      </w:r>
      <w:r w:rsidRPr="00D553A8">
        <w:t xml:space="preserve">improvement through regional and national approaches as well as through meaningful public and patient involvement. </w:t>
      </w:r>
    </w:p>
    <w:p w14:paraId="342B0B77" w14:textId="77777777" w:rsidR="00D5357E" w:rsidRPr="00D553A8" w:rsidRDefault="00D5357E" w:rsidP="00311E27">
      <w:pPr>
        <w:tabs>
          <w:tab w:val="left" w:pos="1701"/>
          <w:tab w:val="left" w:pos="3261"/>
        </w:tabs>
        <w:spacing w:line="276" w:lineRule="auto"/>
      </w:pPr>
    </w:p>
    <w:p w14:paraId="7263B64F" w14:textId="07565CCB" w:rsidR="00D5357E" w:rsidRPr="00D553A8" w:rsidRDefault="00A96EF5" w:rsidP="00311E27">
      <w:pPr>
        <w:pStyle w:val="Heading3"/>
        <w:spacing w:before="0" w:line="276" w:lineRule="auto"/>
      </w:pPr>
      <w:bookmarkStart w:id="73" w:name="_Toc72250661"/>
      <w:bookmarkStart w:id="74" w:name="_Toc77029462"/>
      <w:bookmarkStart w:id="75" w:name="_Toc77079459"/>
      <w:bookmarkStart w:id="76" w:name="_Toc78192696"/>
      <w:bookmarkStart w:id="77" w:name="_Toc213777599"/>
      <w:r w:rsidRPr="00D553A8">
        <w:t>Methodolog</w:t>
      </w:r>
      <w:r w:rsidR="00316AE0">
        <w:t>ical</w:t>
      </w:r>
      <w:bookmarkEnd w:id="69"/>
      <w:bookmarkEnd w:id="70"/>
      <w:bookmarkEnd w:id="71"/>
      <w:bookmarkEnd w:id="72"/>
      <w:bookmarkEnd w:id="73"/>
      <w:bookmarkEnd w:id="74"/>
      <w:bookmarkEnd w:id="75"/>
      <w:bookmarkEnd w:id="76"/>
      <w:r w:rsidR="00237C94">
        <w:t xml:space="preserve"> (including statistical)</w:t>
      </w:r>
      <w:r w:rsidR="00CA12E1">
        <w:t xml:space="preserve"> expertise</w:t>
      </w:r>
      <w:bookmarkEnd w:id="77"/>
    </w:p>
    <w:p w14:paraId="7655EBFB" w14:textId="33F1AD1C" w:rsidR="00D5357E" w:rsidRPr="00D553A8" w:rsidRDefault="00D5357E" w:rsidP="00311E27">
      <w:pPr>
        <w:tabs>
          <w:tab w:val="left" w:pos="1701"/>
          <w:tab w:val="left" w:pos="3261"/>
        </w:tabs>
        <w:spacing w:line="276" w:lineRule="auto"/>
      </w:pPr>
      <w:r w:rsidRPr="00D553A8">
        <w:t>Appropriate methodological input must be integral to the planning and delivery from the outset. Projects pose various challenges related to the definition of the patient inclusion criteria, the definition of the dataset and the robust collection of the data, including the linkage of project data to information from other databas</w:t>
      </w:r>
      <w:r w:rsidR="007B497B" w:rsidRPr="00D553A8">
        <w:t xml:space="preserve">es. </w:t>
      </w:r>
      <w:r w:rsidRPr="00D553A8">
        <w:t xml:space="preserve">Methodological input is also required during the analysis and interpretation of the project findings. These individuals will have a key role in the design of the project, ensuring that it meets the requirements of the project aims and objectives. </w:t>
      </w:r>
      <w:r w:rsidR="0089136E" w:rsidRPr="00D553A8">
        <w:t xml:space="preserve">HQIP’s </w:t>
      </w:r>
      <w:r w:rsidR="00070865" w:rsidRPr="00D553A8">
        <w:t xml:space="preserve">Provider Methodology Manual </w:t>
      </w:r>
      <w:r w:rsidR="001E6BCF" w:rsidRPr="00D553A8">
        <w:t>should be consulted throughout the contract to ensure all aspects of methodology are in line with the requirements set out by HQIP.</w:t>
      </w:r>
    </w:p>
    <w:p w14:paraId="2DBE2855" w14:textId="0C7ACCEF" w:rsidR="00D5357E" w:rsidRPr="00D553A8" w:rsidRDefault="00D5357E" w:rsidP="00222663">
      <w:pPr>
        <w:pStyle w:val="Heading3"/>
        <w:numPr>
          <w:ilvl w:val="0"/>
          <w:numId w:val="0"/>
        </w:numPr>
        <w:spacing w:before="0" w:line="276" w:lineRule="auto"/>
      </w:pPr>
      <w:bookmarkStart w:id="78" w:name="_Toc314476002"/>
    </w:p>
    <w:p w14:paraId="731E13DA" w14:textId="77777777" w:rsidR="0013313D" w:rsidRPr="00D553A8" w:rsidRDefault="00D5357E" w:rsidP="00311E27">
      <w:pPr>
        <w:tabs>
          <w:tab w:val="left" w:pos="1701"/>
          <w:tab w:val="left" w:pos="3261"/>
        </w:tabs>
        <w:spacing w:line="276" w:lineRule="auto"/>
      </w:pPr>
      <w:r w:rsidRPr="00D553A8">
        <w:t xml:space="preserve">Appropriate statistical input is integral to the successful delivery of the project. Statistician input will be essential to the drafting and delivery of a comprehensive analysis plan which should be developed jointly with the clinical lead(s), the methodologist(s) and other experts on the team. </w:t>
      </w:r>
      <w:r w:rsidR="0089136E" w:rsidRPr="00D553A8">
        <w:t>The HQIP Provider methodology m</w:t>
      </w:r>
      <w:r w:rsidR="00D37A6B" w:rsidRPr="00D553A8">
        <w:t>anual should be consulted to ensure alignment wit</w:t>
      </w:r>
      <w:r w:rsidR="007B497B" w:rsidRPr="00D553A8">
        <w:t>h requirements set out by HQIP.</w:t>
      </w:r>
    </w:p>
    <w:p w14:paraId="63EC7D44" w14:textId="77777777" w:rsidR="0013313D" w:rsidRPr="00D553A8" w:rsidRDefault="0013313D" w:rsidP="00311E27">
      <w:pPr>
        <w:tabs>
          <w:tab w:val="left" w:pos="1701"/>
          <w:tab w:val="left" w:pos="3261"/>
        </w:tabs>
        <w:spacing w:line="276" w:lineRule="auto"/>
      </w:pPr>
    </w:p>
    <w:p w14:paraId="028E8947" w14:textId="13B3627B" w:rsidR="00287D9D" w:rsidRPr="00D553A8" w:rsidRDefault="00D5357E" w:rsidP="00311E27">
      <w:pPr>
        <w:spacing w:line="276" w:lineRule="auto"/>
      </w:pPr>
      <w:r w:rsidRPr="00D553A8">
        <w:t xml:space="preserve">The analysis plan must be designed to support the specific </w:t>
      </w:r>
      <w:r w:rsidR="00070865">
        <w:t xml:space="preserve">healthcare </w:t>
      </w:r>
      <w:r w:rsidR="00E94752" w:rsidRPr="00D553A8">
        <w:t xml:space="preserve">quality </w:t>
      </w:r>
      <w:r w:rsidRPr="00D553A8">
        <w:t xml:space="preserve">improvement goals and anticipated published comparisons, which have been identified for the project during development. </w:t>
      </w:r>
      <w:r w:rsidR="00287D9D" w:rsidRPr="00D553A8">
        <w:t>The approach to managing missing data or variability in the quality of data submitted to the audit must be explicit in the analysis plan and adhered to.</w:t>
      </w:r>
    </w:p>
    <w:p w14:paraId="40D7065C" w14:textId="77777777" w:rsidR="009C6613" w:rsidRDefault="009C6613" w:rsidP="00311E27">
      <w:pPr>
        <w:tabs>
          <w:tab w:val="left" w:pos="1701"/>
          <w:tab w:val="left" w:pos="3261"/>
        </w:tabs>
        <w:spacing w:line="276" w:lineRule="auto"/>
      </w:pPr>
    </w:p>
    <w:p w14:paraId="5A73D84E" w14:textId="6FEBB6F7" w:rsidR="00287D9D" w:rsidRDefault="00287D9D" w:rsidP="00311E27">
      <w:pPr>
        <w:tabs>
          <w:tab w:val="left" w:pos="1701"/>
          <w:tab w:val="left" w:pos="3261"/>
        </w:tabs>
        <w:spacing w:line="276" w:lineRule="auto"/>
      </w:pPr>
      <w:r w:rsidRPr="00D553A8">
        <w:lastRenderedPageBreak/>
        <w:t>The analysis plan must include the use of risk adjustment as appropriate. Adjustment must be achieved using a validated method and applied by a person or group with the appropriate statistical expertise. A validated model must already be available or be able to be developed within the available resources.</w:t>
      </w:r>
    </w:p>
    <w:p w14:paraId="17C15BCE" w14:textId="77777777" w:rsidR="009C6613" w:rsidRPr="00D553A8" w:rsidRDefault="009C6613" w:rsidP="00311E27">
      <w:pPr>
        <w:tabs>
          <w:tab w:val="left" w:pos="1701"/>
          <w:tab w:val="left" w:pos="3261"/>
        </w:tabs>
        <w:spacing w:line="276" w:lineRule="auto"/>
      </w:pPr>
    </w:p>
    <w:p w14:paraId="1C2E0173" w14:textId="006E6A85" w:rsidR="009C6613" w:rsidRDefault="00D5357E" w:rsidP="009C6613">
      <w:pPr>
        <w:tabs>
          <w:tab w:val="left" w:pos="1701"/>
          <w:tab w:val="left" w:pos="3261"/>
        </w:tabs>
        <w:spacing w:line="276" w:lineRule="auto"/>
      </w:pPr>
      <w:r w:rsidRPr="00D553A8">
        <w:t xml:space="preserve">HQIP will review the analysis plan alongside the project </w:t>
      </w:r>
      <w:r w:rsidR="007B497B" w:rsidRPr="00D553A8">
        <w:t>plan throughout the contract</w:t>
      </w:r>
      <w:r w:rsidR="009C6613">
        <w:t>.</w:t>
      </w:r>
    </w:p>
    <w:p w14:paraId="3CEACAEC" w14:textId="77777777" w:rsidR="009C6613" w:rsidRDefault="009C6613" w:rsidP="009C6613">
      <w:pPr>
        <w:tabs>
          <w:tab w:val="left" w:pos="1701"/>
          <w:tab w:val="left" w:pos="3261"/>
        </w:tabs>
        <w:spacing w:line="276" w:lineRule="auto"/>
      </w:pPr>
    </w:p>
    <w:p w14:paraId="56DA1BDC" w14:textId="61412B7B" w:rsidR="00B63C36" w:rsidRPr="00D553A8" w:rsidRDefault="00B63C36" w:rsidP="009C6613">
      <w:pPr>
        <w:pStyle w:val="Heading3"/>
        <w:spacing w:before="0"/>
      </w:pPr>
      <w:bookmarkStart w:id="79" w:name="_Toc213777600"/>
      <w:r w:rsidRPr="00D553A8">
        <w:t>Programme and project management</w:t>
      </w:r>
      <w:bookmarkEnd w:id="79"/>
    </w:p>
    <w:p w14:paraId="086BB6F2" w14:textId="4E94C037" w:rsidR="00B63C36" w:rsidRPr="00D553A8" w:rsidRDefault="00B63C36" w:rsidP="00311E27">
      <w:pPr>
        <w:tabs>
          <w:tab w:val="left" w:pos="1701"/>
          <w:tab w:val="left" w:pos="3261"/>
        </w:tabs>
        <w:spacing w:line="276" w:lineRule="auto"/>
      </w:pPr>
      <w:r w:rsidRPr="00D553A8">
        <w:t>There should be robust programme and project management throughout the contract, ensuring that all deliverables are met on time, on budget</w:t>
      </w:r>
      <w:r w:rsidR="00095B8B" w:rsidRPr="00D553A8">
        <w:t>,</w:t>
      </w:r>
      <w:r w:rsidRPr="00D553A8">
        <w:t xml:space="preserve"> and to</w:t>
      </w:r>
      <w:r w:rsidR="0089136E" w:rsidRPr="00D553A8">
        <w:t xml:space="preserve"> high quality. HQIP’s </w:t>
      </w:r>
      <w:r w:rsidR="00070865" w:rsidRPr="00D553A8">
        <w:t xml:space="preserve">Provider Technical Manual </w:t>
      </w:r>
      <w:r w:rsidR="00070865">
        <w:t>a</w:t>
      </w:r>
      <w:r w:rsidR="00070865" w:rsidRPr="00D553A8">
        <w:t xml:space="preserve">nd Provider Methodology Manual </w:t>
      </w:r>
      <w:r w:rsidRPr="00D553A8">
        <w:t>should be consulted throughout the contract to ensure all aspects of delivery are in line with the requirements set out by HQIP. This must include development and maintenance of a project plan</w:t>
      </w:r>
      <w:r w:rsidR="003735C9" w:rsidRPr="003735C9">
        <w:t>, which should be sent to HQP for approval</w:t>
      </w:r>
      <w:r w:rsidRPr="00D553A8">
        <w:t>.</w:t>
      </w:r>
    </w:p>
    <w:p w14:paraId="2756043C" w14:textId="77777777" w:rsidR="00B63C36" w:rsidRPr="00D553A8" w:rsidRDefault="00B63C36" w:rsidP="00311E27">
      <w:pPr>
        <w:tabs>
          <w:tab w:val="left" w:pos="1701"/>
          <w:tab w:val="left" w:pos="3261"/>
        </w:tabs>
        <w:spacing w:line="276" w:lineRule="auto"/>
      </w:pPr>
    </w:p>
    <w:p w14:paraId="7D907FAE" w14:textId="4B4CDBCA" w:rsidR="00A52F4C" w:rsidRDefault="00A52F4C" w:rsidP="00311E27">
      <w:pPr>
        <w:tabs>
          <w:tab w:val="left" w:pos="1701"/>
          <w:tab w:val="left" w:pos="3261"/>
        </w:tabs>
        <w:spacing w:line="276" w:lineRule="auto"/>
      </w:pPr>
      <w:r w:rsidRPr="00A52F4C">
        <w:t xml:space="preserve">The supplier is also required to appropriately manage risks and issues in the programme. This includes identifying risks and/or issues, putting appropriate mitigation actions in place, and monitoring the effects of those actions. The supplier must maintain an appropriate risks and issues </w:t>
      </w:r>
      <w:r w:rsidR="00791599" w:rsidRPr="00A52F4C">
        <w:t>log and</w:t>
      </w:r>
      <w:r w:rsidRPr="00A52F4C">
        <w:t xml:space="preserve"> make this log routinely available to HQIP.</w:t>
      </w:r>
    </w:p>
    <w:p w14:paraId="5F971476" w14:textId="77777777" w:rsidR="005711F5" w:rsidRDefault="005711F5" w:rsidP="00311E27">
      <w:pPr>
        <w:tabs>
          <w:tab w:val="left" w:pos="1701"/>
          <w:tab w:val="left" w:pos="3261"/>
        </w:tabs>
        <w:spacing w:line="276" w:lineRule="auto"/>
      </w:pPr>
    </w:p>
    <w:p w14:paraId="3A3783D8" w14:textId="3BCD34E7" w:rsidR="005711F5" w:rsidRPr="00D553A8" w:rsidRDefault="005711F5" w:rsidP="005711F5">
      <w:pPr>
        <w:pStyle w:val="Heading3"/>
      </w:pPr>
      <w:bookmarkStart w:id="80" w:name="_Toc213777601"/>
      <w:r w:rsidRPr="00D553A8">
        <w:t>Editor</w:t>
      </w:r>
      <w:r>
        <w:t xml:space="preserve">ial </w:t>
      </w:r>
      <w:r w:rsidR="00CA12E1">
        <w:t>expertise</w:t>
      </w:r>
      <w:bookmarkEnd w:id="80"/>
    </w:p>
    <w:p w14:paraId="7EC9BEBF" w14:textId="77777777" w:rsidR="005711F5" w:rsidRDefault="005711F5" w:rsidP="005711F5">
      <w:pPr>
        <w:spacing w:line="276" w:lineRule="auto"/>
      </w:pPr>
      <w:r>
        <w:t>All report outputs must be reviewed by an individual with editorial expertise, fully quality assured, and corrections made before being submitted into the Standard Reporting Procedure (SRP) for review by HQIP and funders. Timelines for report production should include an allowance for the time required to complete these tasks.</w:t>
      </w:r>
    </w:p>
    <w:p w14:paraId="1CA797F4" w14:textId="77777777" w:rsidR="005711F5" w:rsidRDefault="005711F5" w:rsidP="005711F5">
      <w:pPr>
        <w:spacing w:line="276" w:lineRule="auto"/>
      </w:pPr>
    </w:p>
    <w:p w14:paraId="647D3B23" w14:textId="77777777" w:rsidR="005711F5" w:rsidRDefault="005711F5" w:rsidP="005711F5">
      <w:pPr>
        <w:spacing w:line="276" w:lineRule="auto"/>
      </w:pPr>
      <w:r>
        <w:t>Editorial expertise and quality assurance includes, but is not limited to, ensuring:</w:t>
      </w:r>
    </w:p>
    <w:p w14:paraId="3352A334" w14:textId="77777777" w:rsidR="005711F5" w:rsidRDefault="005711F5" w:rsidP="00791599">
      <w:pPr>
        <w:spacing w:line="276" w:lineRule="auto"/>
        <w:ind w:left="567" w:hanging="567"/>
      </w:pPr>
      <w:r>
        <w:t>•</w:t>
      </w:r>
      <w:r>
        <w:tab/>
        <w:t>The overall structure of the output flows clearly and logically</w:t>
      </w:r>
    </w:p>
    <w:p w14:paraId="044BD48A" w14:textId="77777777" w:rsidR="005711F5" w:rsidRDefault="005711F5" w:rsidP="00791599">
      <w:pPr>
        <w:spacing w:line="276" w:lineRule="auto"/>
        <w:ind w:left="567" w:hanging="567"/>
      </w:pPr>
      <w:r>
        <w:t>•</w:t>
      </w:r>
      <w:r>
        <w:tab/>
        <w:t>All references to the findings are consistent across different report sections</w:t>
      </w:r>
    </w:p>
    <w:p w14:paraId="6C257305" w14:textId="77777777" w:rsidR="005711F5" w:rsidRDefault="005711F5" w:rsidP="00791599">
      <w:pPr>
        <w:spacing w:line="276" w:lineRule="auto"/>
        <w:ind w:left="567" w:hanging="567"/>
      </w:pPr>
      <w:r>
        <w:t>•</w:t>
      </w:r>
      <w:r>
        <w:tab/>
        <w:t>The language and grammar used is appropriate, accurate, and accessible to the intended audiences</w:t>
      </w:r>
    </w:p>
    <w:p w14:paraId="53B15E72" w14:textId="1FEA0952" w:rsidR="00B63C36" w:rsidRPr="00D553A8" w:rsidRDefault="005711F5" w:rsidP="00791599">
      <w:pPr>
        <w:spacing w:line="276" w:lineRule="auto"/>
        <w:ind w:left="567" w:hanging="567"/>
      </w:pPr>
      <w:r>
        <w:t>•</w:t>
      </w:r>
      <w:r>
        <w:tab/>
        <w:t>That the requirements set out in the Provider Technical Manual and Provider Methodology Manual have been complied with.</w:t>
      </w:r>
    </w:p>
    <w:p w14:paraId="56811926" w14:textId="77777777" w:rsidR="00A42841" w:rsidRPr="00D553A8" w:rsidRDefault="00A42841" w:rsidP="006B1F92">
      <w:pPr>
        <w:pStyle w:val="Heading1"/>
      </w:pPr>
      <w:bookmarkStart w:id="81" w:name="_Toc213777602"/>
      <w:r w:rsidRPr="00D553A8">
        <w:t>Engaging and involving patients, carers and the public</w:t>
      </w:r>
      <w:bookmarkEnd w:id="81"/>
      <w:r w:rsidRPr="00D553A8">
        <w:t xml:space="preserve"> </w:t>
      </w:r>
    </w:p>
    <w:p w14:paraId="0D87B450" w14:textId="034E619B" w:rsidR="001C04B0" w:rsidRDefault="001C04B0" w:rsidP="001C04B0">
      <w:pPr>
        <w:widowControl/>
        <w:tabs>
          <w:tab w:val="left" w:pos="1701"/>
          <w:tab w:val="left" w:pos="3261"/>
        </w:tabs>
        <w:autoSpaceDE/>
        <w:autoSpaceDN/>
        <w:spacing w:line="276" w:lineRule="auto"/>
        <w:contextualSpacing/>
      </w:pPr>
      <w:r w:rsidRPr="00185DA5">
        <w:t>The term: “Patients</w:t>
      </w:r>
      <w:r>
        <w:t>, carers</w:t>
      </w:r>
      <w:r w:rsidRPr="00185DA5">
        <w:t xml:space="preserve"> and the public” includes (but is not limited to) </w:t>
      </w:r>
      <w:r>
        <w:t>patient</w:t>
      </w:r>
      <w:r w:rsidRPr="00185DA5">
        <w:t>s and those important to them, carers, charities, and representative organisations. Please</w:t>
      </w:r>
      <w:r>
        <w:t xml:space="preserve"> r</w:t>
      </w:r>
      <w:r w:rsidRPr="00D553A8">
        <w:t>efer to</w:t>
      </w:r>
      <w:r>
        <w:t xml:space="preserve"> HQIP’s </w:t>
      </w:r>
      <w:hyperlink r:id="rId14" w:history="1">
        <w:r w:rsidRPr="001C04B0">
          <w:rPr>
            <w:rStyle w:val="Hyperlink"/>
            <w:rFonts w:cs="Calibri"/>
          </w:rPr>
          <w:t>Patient and Public Involvement (PPI) Strategy 2025-2028</w:t>
        </w:r>
      </w:hyperlink>
      <w:r>
        <w:t>.</w:t>
      </w:r>
    </w:p>
    <w:p w14:paraId="2A1D09E7" w14:textId="77777777" w:rsidR="001C04B0" w:rsidRPr="00D553A8" w:rsidRDefault="001C04B0" w:rsidP="001C04B0">
      <w:pPr>
        <w:tabs>
          <w:tab w:val="left" w:pos="1701"/>
          <w:tab w:val="left" w:pos="3261"/>
        </w:tabs>
        <w:spacing w:line="276" w:lineRule="auto"/>
        <w:contextualSpacing/>
      </w:pPr>
    </w:p>
    <w:p w14:paraId="3711A1AC" w14:textId="77777777" w:rsidR="001C04B0" w:rsidRDefault="001C04B0" w:rsidP="001C04B0">
      <w:pPr>
        <w:widowControl/>
        <w:tabs>
          <w:tab w:val="left" w:pos="1701"/>
          <w:tab w:val="left" w:pos="3261"/>
        </w:tabs>
        <w:autoSpaceDE/>
        <w:autoSpaceDN/>
        <w:spacing w:line="276" w:lineRule="auto"/>
      </w:pPr>
      <w:r w:rsidRPr="000B6014">
        <w:t>HQIP’s engagement framework is founded on six key principles, incorporating a co-production model that values lived experience and informs our practice.</w:t>
      </w:r>
      <w:r>
        <w:t xml:space="preserve"> </w:t>
      </w:r>
      <w:r w:rsidRPr="00D24E13">
        <w:t xml:space="preserve">The principles are adapted from the </w:t>
      </w:r>
      <w:hyperlink r:id="rId15" w:history="1">
        <w:r w:rsidRPr="00D24E13">
          <w:rPr>
            <w:rStyle w:val="Hyperlink"/>
            <w:rFonts w:cs="Calibri"/>
          </w:rPr>
          <w:t>N</w:t>
        </w:r>
        <w:r>
          <w:rPr>
            <w:rStyle w:val="Hyperlink"/>
            <w:rFonts w:cs="Calibri"/>
          </w:rPr>
          <w:t>IHR</w:t>
        </w:r>
        <w:r w:rsidRPr="00D24E13">
          <w:rPr>
            <w:rStyle w:val="Hyperlink"/>
            <w:rFonts w:cs="Calibri"/>
          </w:rPr>
          <w:t xml:space="preserve"> UK Standards for Public Involvement</w:t>
        </w:r>
      </w:hyperlink>
      <w:r>
        <w:t>. The supplier is expected to demonstrate how the following principles will be embedded effectively, appropriately, and meaningfully throughout all stages of programme design and delivery.</w:t>
      </w:r>
    </w:p>
    <w:p w14:paraId="3A740EE6" w14:textId="77777777" w:rsidR="001C04B0" w:rsidRPr="009328AD" w:rsidRDefault="001C04B0" w:rsidP="001C04B0">
      <w:pPr>
        <w:pStyle w:val="ListParagraph"/>
        <w:numPr>
          <w:ilvl w:val="0"/>
          <w:numId w:val="5"/>
        </w:numPr>
        <w:shd w:val="clear" w:color="auto" w:fill="FFFFFF"/>
        <w:spacing w:line="240" w:lineRule="auto"/>
        <w:jc w:val="left"/>
        <w:rPr>
          <w:rFonts w:cs="Arial"/>
        </w:rPr>
      </w:pPr>
      <w:r w:rsidRPr="009328AD">
        <w:rPr>
          <w:rFonts w:cs="Arial"/>
        </w:rPr>
        <w:t xml:space="preserve">Inclusivity </w:t>
      </w:r>
    </w:p>
    <w:p w14:paraId="116C73C3" w14:textId="77777777" w:rsidR="001C04B0" w:rsidRPr="009328AD" w:rsidRDefault="001C04B0" w:rsidP="001C04B0">
      <w:pPr>
        <w:pStyle w:val="ListParagraph"/>
        <w:numPr>
          <w:ilvl w:val="0"/>
          <w:numId w:val="5"/>
        </w:numPr>
        <w:shd w:val="clear" w:color="auto" w:fill="FFFFFF"/>
        <w:spacing w:line="240" w:lineRule="auto"/>
        <w:jc w:val="left"/>
        <w:rPr>
          <w:rFonts w:cs="Arial"/>
        </w:rPr>
      </w:pPr>
      <w:r w:rsidRPr="009328AD">
        <w:rPr>
          <w:rFonts w:cs="Arial"/>
        </w:rPr>
        <w:t>Working Together</w:t>
      </w:r>
    </w:p>
    <w:p w14:paraId="08A1AA07" w14:textId="77777777" w:rsidR="001C04B0" w:rsidRPr="009328AD" w:rsidRDefault="001C04B0" w:rsidP="001C04B0">
      <w:pPr>
        <w:pStyle w:val="ListParagraph"/>
        <w:numPr>
          <w:ilvl w:val="0"/>
          <w:numId w:val="5"/>
        </w:numPr>
        <w:shd w:val="clear" w:color="auto" w:fill="FFFFFF"/>
        <w:spacing w:line="240" w:lineRule="auto"/>
        <w:jc w:val="left"/>
        <w:rPr>
          <w:rFonts w:cs="Arial"/>
        </w:rPr>
      </w:pPr>
      <w:r w:rsidRPr="009328AD">
        <w:rPr>
          <w:rFonts w:cs="Arial"/>
        </w:rPr>
        <w:t xml:space="preserve">Support and Learning </w:t>
      </w:r>
    </w:p>
    <w:p w14:paraId="3D048C22" w14:textId="77777777" w:rsidR="001C04B0" w:rsidRPr="009328AD" w:rsidRDefault="001C04B0" w:rsidP="001C04B0">
      <w:pPr>
        <w:pStyle w:val="ListParagraph"/>
        <w:numPr>
          <w:ilvl w:val="0"/>
          <w:numId w:val="5"/>
        </w:numPr>
        <w:shd w:val="clear" w:color="auto" w:fill="FFFFFF"/>
        <w:spacing w:line="240" w:lineRule="auto"/>
        <w:jc w:val="left"/>
        <w:rPr>
          <w:rFonts w:cs="Arial"/>
        </w:rPr>
      </w:pPr>
      <w:r w:rsidRPr="009328AD">
        <w:rPr>
          <w:rFonts w:cs="Arial"/>
        </w:rPr>
        <w:t xml:space="preserve">Governance </w:t>
      </w:r>
    </w:p>
    <w:p w14:paraId="7280DA07" w14:textId="77777777" w:rsidR="001C04B0" w:rsidRPr="009328AD" w:rsidRDefault="001C04B0" w:rsidP="001C04B0">
      <w:pPr>
        <w:pStyle w:val="ListParagraph"/>
        <w:numPr>
          <w:ilvl w:val="0"/>
          <w:numId w:val="5"/>
        </w:numPr>
        <w:shd w:val="clear" w:color="auto" w:fill="FFFFFF"/>
        <w:spacing w:line="240" w:lineRule="auto"/>
        <w:jc w:val="left"/>
        <w:rPr>
          <w:rFonts w:cs="Arial"/>
        </w:rPr>
      </w:pPr>
      <w:r w:rsidRPr="009328AD">
        <w:rPr>
          <w:rFonts w:cs="Arial"/>
        </w:rPr>
        <w:lastRenderedPageBreak/>
        <w:t xml:space="preserve">Communication </w:t>
      </w:r>
    </w:p>
    <w:p w14:paraId="54392B0A" w14:textId="77777777" w:rsidR="001C04B0" w:rsidRPr="009328AD" w:rsidRDefault="001C04B0" w:rsidP="001C04B0">
      <w:pPr>
        <w:pStyle w:val="ListParagraph"/>
        <w:numPr>
          <w:ilvl w:val="0"/>
          <w:numId w:val="5"/>
        </w:numPr>
        <w:shd w:val="clear" w:color="auto" w:fill="FFFFFF"/>
        <w:spacing w:line="240" w:lineRule="auto"/>
        <w:jc w:val="left"/>
        <w:rPr>
          <w:rFonts w:cs="Arial"/>
        </w:rPr>
      </w:pPr>
      <w:r w:rsidRPr="009328AD">
        <w:rPr>
          <w:rFonts w:cs="Arial"/>
        </w:rPr>
        <w:t>Influence and Impact</w:t>
      </w:r>
    </w:p>
    <w:p w14:paraId="3034F913" w14:textId="77777777" w:rsidR="001C04B0" w:rsidRPr="00D553A8" w:rsidRDefault="001C04B0" w:rsidP="001C04B0">
      <w:pPr>
        <w:spacing w:line="276" w:lineRule="auto"/>
      </w:pPr>
    </w:p>
    <w:p w14:paraId="7B440A97" w14:textId="77777777" w:rsidR="001C04B0" w:rsidRDefault="001C04B0" w:rsidP="001C04B0">
      <w:pPr>
        <w:widowControl/>
        <w:tabs>
          <w:tab w:val="left" w:pos="1701"/>
          <w:tab w:val="left" w:pos="3261"/>
        </w:tabs>
        <w:autoSpaceDE/>
        <w:autoSpaceDN/>
        <w:spacing w:line="276" w:lineRule="auto"/>
      </w:pPr>
      <w:r>
        <w:t>Patient, carer and public involvement should be integrated into:</w:t>
      </w:r>
    </w:p>
    <w:p w14:paraId="7C574800" w14:textId="77777777" w:rsidR="001C04B0" w:rsidRDefault="001C04B0" w:rsidP="001C04B0">
      <w:pPr>
        <w:pStyle w:val="ListParagraph"/>
        <w:numPr>
          <w:ilvl w:val="0"/>
          <w:numId w:val="12"/>
        </w:numPr>
        <w:tabs>
          <w:tab w:val="left" w:pos="284"/>
          <w:tab w:val="left" w:pos="3261"/>
        </w:tabs>
      </w:pPr>
      <w:r>
        <w:t>developing the tender response</w:t>
      </w:r>
    </w:p>
    <w:p w14:paraId="3B721FA9" w14:textId="77777777" w:rsidR="001C04B0" w:rsidRDefault="001C04B0" w:rsidP="001C04B0">
      <w:pPr>
        <w:pStyle w:val="ListParagraph"/>
        <w:numPr>
          <w:ilvl w:val="0"/>
          <w:numId w:val="12"/>
        </w:numPr>
        <w:tabs>
          <w:tab w:val="left" w:pos="284"/>
          <w:tab w:val="left" w:pos="3261"/>
        </w:tabs>
      </w:pPr>
      <w:r>
        <w:t>relevant governance groups throughout the project lifetime. Resources should be defined to achieve this</w:t>
      </w:r>
    </w:p>
    <w:p w14:paraId="24357362" w14:textId="77777777" w:rsidR="001C04B0" w:rsidRDefault="001C04B0" w:rsidP="001C04B0">
      <w:pPr>
        <w:pStyle w:val="ListParagraph"/>
        <w:numPr>
          <w:ilvl w:val="0"/>
          <w:numId w:val="12"/>
        </w:numPr>
        <w:tabs>
          <w:tab w:val="left" w:pos="284"/>
          <w:tab w:val="left" w:pos="3261"/>
        </w:tabs>
      </w:pPr>
      <w:r>
        <w:t>defining the healthcare quality improvement plan</w:t>
      </w:r>
    </w:p>
    <w:p w14:paraId="31983A0A" w14:textId="77777777" w:rsidR="001C04B0" w:rsidRDefault="001C04B0" w:rsidP="001C04B0">
      <w:pPr>
        <w:pStyle w:val="ListParagraph"/>
        <w:numPr>
          <w:ilvl w:val="0"/>
          <w:numId w:val="12"/>
        </w:numPr>
        <w:tabs>
          <w:tab w:val="left" w:pos="284"/>
          <w:tab w:val="left" w:pos="3261"/>
        </w:tabs>
      </w:pPr>
      <w:r>
        <w:t>designing what data will be collected, and how it will be collected</w:t>
      </w:r>
    </w:p>
    <w:p w14:paraId="37F75764" w14:textId="77777777" w:rsidR="001C04B0" w:rsidRDefault="001C04B0" w:rsidP="001C04B0">
      <w:pPr>
        <w:pStyle w:val="ListParagraph"/>
        <w:numPr>
          <w:ilvl w:val="0"/>
          <w:numId w:val="12"/>
        </w:numPr>
        <w:tabs>
          <w:tab w:val="left" w:pos="284"/>
          <w:tab w:val="left" w:pos="3261"/>
        </w:tabs>
      </w:pPr>
      <w:r>
        <w:t>development of project resources and accessible outputs that are aimed at patients, carers and the public, using co-production as a default</w:t>
      </w:r>
    </w:p>
    <w:p w14:paraId="26E0754A" w14:textId="77777777" w:rsidR="001C04B0" w:rsidRDefault="001C04B0" w:rsidP="001C04B0">
      <w:pPr>
        <w:pStyle w:val="ListParagraph"/>
        <w:numPr>
          <w:ilvl w:val="0"/>
          <w:numId w:val="12"/>
        </w:numPr>
        <w:tabs>
          <w:tab w:val="left" w:pos="284"/>
          <w:tab w:val="left" w:pos="3261"/>
        </w:tabs>
      </w:pPr>
      <w:r>
        <w:t>an inclusive communication and dissemination plan to support wider engagement of all people and communities</w:t>
      </w:r>
    </w:p>
    <w:p w14:paraId="479191FD" w14:textId="0DE416E6" w:rsidR="00F63F26" w:rsidRDefault="001C04B0" w:rsidP="009C5852">
      <w:pPr>
        <w:pStyle w:val="ListParagraph"/>
        <w:numPr>
          <w:ilvl w:val="0"/>
          <w:numId w:val="12"/>
        </w:numPr>
        <w:tabs>
          <w:tab w:val="left" w:pos="284"/>
          <w:tab w:val="left" w:pos="3261"/>
        </w:tabs>
      </w:pPr>
      <w:r>
        <w:t>evaluating the impact of patient engagement (including defining how this impact should be measured)</w:t>
      </w:r>
    </w:p>
    <w:p w14:paraId="0BCFAB9D" w14:textId="462AE944" w:rsidR="00316AE0" w:rsidRPr="00D553A8" w:rsidRDefault="00316AE0" w:rsidP="006B1F92">
      <w:pPr>
        <w:pStyle w:val="Heading1"/>
      </w:pPr>
      <w:bookmarkStart w:id="82" w:name="_Toc187054355"/>
      <w:bookmarkStart w:id="83" w:name="_Toc213777603"/>
      <w:bookmarkEnd w:id="78"/>
      <w:bookmarkEnd w:id="82"/>
      <w:r>
        <w:t>Equity and parity</w:t>
      </w:r>
      <w:bookmarkEnd w:id="83"/>
    </w:p>
    <w:p w14:paraId="5581E7D2" w14:textId="118B75A5" w:rsidR="00FF6446" w:rsidRPr="00D553A8" w:rsidRDefault="00CA12E1" w:rsidP="00311E27">
      <w:pPr>
        <w:pStyle w:val="Heading2"/>
        <w:spacing w:line="276" w:lineRule="auto"/>
      </w:pPr>
      <w:bookmarkStart w:id="84" w:name="_Toc213777604"/>
      <w:r>
        <w:t>Promotion</w:t>
      </w:r>
      <w:r w:rsidR="00FF6446" w:rsidRPr="00D553A8">
        <w:t xml:space="preserve"> of equity and equality of care</w:t>
      </w:r>
      <w:bookmarkEnd w:id="84"/>
    </w:p>
    <w:p w14:paraId="73A74E6F" w14:textId="4BA53C97" w:rsidR="00FF6446" w:rsidRPr="00D553A8" w:rsidRDefault="00FF6446" w:rsidP="00311E27">
      <w:pPr>
        <w:widowControl/>
        <w:tabs>
          <w:tab w:val="left" w:pos="1701"/>
          <w:tab w:val="left" w:pos="3261"/>
        </w:tabs>
        <w:autoSpaceDE/>
        <w:autoSpaceDN/>
        <w:spacing w:line="276" w:lineRule="auto"/>
        <w:contextualSpacing/>
      </w:pPr>
      <w:r w:rsidRPr="00D553A8">
        <w:t>HQIP aligns with the Department of Health and Social Care’s identified duty to promote equality through the health and care system, paying particular attention to groups or sections of society where improvements in health and care outcomes are not keeping pace wi</w:t>
      </w:r>
      <w:r w:rsidR="007B497B" w:rsidRPr="00D553A8">
        <w:t>th the rest of the population</w:t>
      </w:r>
      <w:r w:rsidR="0064036F">
        <w:t xml:space="preserve"> (e.g. </w:t>
      </w:r>
      <w:hyperlink r:id="rId16" w:history="1">
        <w:r w:rsidR="002A5F66" w:rsidRPr="002A5F66">
          <w:rPr>
            <w:rStyle w:val="Hyperlink"/>
            <w:rFonts w:cs="Calibri"/>
          </w:rPr>
          <w:t>Core20PLUS5</w:t>
        </w:r>
      </w:hyperlink>
      <w:r w:rsidR="0064036F">
        <w:t>).</w:t>
      </w:r>
      <w:r w:rsidR="007B497B" w:rsidRPr="00D553A8">
        <w:t xml:space="preserve"> </w:t>
      </w:r>
      <w:r w:rsidRPr="00D553A8">
        <w:t>The predicted equality and diversity impact of all project tools</w:t>
      </w:r>
      <w:r w:rsidR="00474E20">
        <w:t>, outputs</w:t>
      </w:r>
      <w:r w:rsidRPr="00D553A8">
        <w:t xml:space="preserve"> and patient recruitment strategies developed (including the project dataset) must be systematically reviewed and reported </w:t>
      </w:r>
      <w:r w:rsidR="00C57A51" w:rsidRPr="00D553A8">
        <w:t>publicly</w:t>
      </w:r>
      <w:r w:rsidRPr="00D553A8">
        <w:t xml:space="preserve"> by the supplier, with associated commentary as required.</w:t>
      </w:r>
    </w:p>
    <w:p w14:paraId="7478EEC8" w14:textId="77777777" w:rsidR="00FF6446" w:rsidRPr="00D553A8" w:rsidRDefault="00FF6446" w:rsidP="00311E27">
      <w:pPr>
        <w:tabs>
          <w:tab w:val="left" w:pos="1701"/>
          <w:tab w:val="left" w:pos="3261"/>
        </w:tabs>
        <w:spacing w:line="276" w:lineRule="auto"/>
      </w:pPr>
    </w:p>
    <w:p w14:paraId="5E6D759A" w14:textId="3FB7B6E8" w:rsidR="00FF6446" w:rsidRPr="00D553A8" w:rsidRDefault="001D63E6" w:rsidP="00311E27">
      <w:pPr>
        <w:widowControl/>
        <w:tabs>
          <w:tab w:val="left" w:pos="1701"/>
          <w:tab w:val="left" w:pos="3261"/>
        </w:tabs>
        <w:autoSpaceDE/>
        <w:autoSpaceDN/>
        <w:spacing w:line="276" w:lineRule="auto"/>
        <w:contextualSpacing/>
      </w:pPr>
      <w:r w:rsidRPr="00D553A8">
        <w:t>The p</w:t>
      </w:r>
      <w:r w:rsidR="00FF6446" w:rsidRPr="00D553A8">
        <w:t>roject</w:t>
      </w:r>
      <w:r w:rsidR="00E94752" w:rsidRPr="00D553A8">
        <w:t>’s</w:t>
      </w:r>
      <w:r w:rsidR="00FF6446" w:rsidRPr="00D553A8">
        <w:t xml:space="preserve"> </w:t>
      </w:r>
      <w:r w:rsidR="00070865">
        <w:t xml:space="preserve">healthcare </w:t>
      </w:r>
      <w:r w:rsidR="00E94752" w:rsidRPr="00D553A8">
        <w:t xml:space="preserve">quality </w:t>
      </w:r>
      <w:r w:rsidR="002531E5" w:rsidRPr="00D553A8">
        <w:t>improvement p</w:t>
      </w:r>
      <w:r w:rsidR="00FF6446" w:rsidRPr="00D553A8">
        <w:t>lan and outputs should support local and national initiatives to reduce inequalities</w:t>
      </w:r>
      <w:r w:rsidR="00CA12E1">
        <w:t xml:space="preserve"> and inequity</w:t>
      </w:r>
      <w:r w:rsidR="00FF6446" w:rsidRPr="00D553A8">
        <w:t xml:space="preserve"> and promote parity of care.</w:t>
      </w:r>
    </w:p>
    <w:p w14:paraId="28457408" w14:textId="77777777" w:rsidR="00FF6446" w:rsidRPr="00D553A8" w:rsidRDefault="00FF6446" w:rsidP="00311E27">
      <w:pPr>
        <w:widowControl/>
        <w:tabs>
          <w:tab w:val="left" w:pos="1701"/>
          <w:tab w:val="left" w:pos="3261"/>
        </w:tabs>
        <w:autoSpaceDE/>
        <w:autoSpaceDN/>
        <w:spacing w:line="276" w:lineRule="auto"/>
        <w:contextualSpacing/>
      </w:pPr>
    </w:p>
    <w:p w14:paraId="0B811DA4" w14:textId="77777777" w:rsidR="00FF6446" w:rsidRPr="00D553A8" w:rsidRDefault="00FF6446" w:rsidP="00311E27">
      <w:pPr>
        <w:pStyle w:val="Heading2"/>
        <w:spacing w:line="276" w:lineRule="auto"/>
      </w:pPr>
      <w:bookmarkStart w:id="85" w:name="_Toc213777605"/>
      <w:r w:rsidRPr="00D553A8">
        <w:t>Parity of esteem</w:t>
      </w:r>
      <w:bookmarkEnd w:id="85"/>
    </w:p>
    <w:p w14:paraId="009E5BB9" w14:textId="10CFD9EF" w:rsidR="00AE661B" w:rsidRPr="00D553A8" w:rsidRDefault="00FF6446" w:rsidP="00311E27">
      <w:pPr>
        <w:spacing w:line="276" w:lineRule="auto"/>
      </w:pPr>
      <w:r w:rsidRPr="00D553A8">
        <w:t xml:space="preserve">Parity of esteem is best described as: ‘valuing mental health equally with physical health’ and it is expected that the project will promote this equity through conscious design </w:t>
      </w:r>
      <w:r w:rsidR="008B5B6E" w:rsidRPr="008B5B6E">
        <w:t xml:space="preserve">and engagement with patients and carers </w:t>
      </w:r>
      <w:r w:rsidRPr="00D553A8">
        <w:t xml:space="preserve">to ensure there is a holistic approach to improving </w:t>
      </w:r>
      <w:r w:rsidR="008B5B6E">
        <w:t>healthcare</w:t>
      </w:r>
      <w:r w:rsidR="008B5B6E" w:rsidRPr="00D553A8">
        <w:t xml:space="preserve"> </w:t>
      </w:r>
      <w:r w:rsidRPr="00D553A8">
        <w:t xml:space="preserve">quality and to achieving equal status in the </w:t>
      </w:r>
      <w:r w:rsidR="00C21ABE" w:rsidRPr="00D553A8">
        <w:t>measurement of health outcomes.</w:t>
      </w:r>
    </w:p>
    <w:p w14:paraId="563183C6" w14:textId="0054CB59" w:rsidR="00386BF5" w:rsidRPr="00D553A8" w:rsidRDefault="002273E6" w:rsidP="006B1F92">
      <w:pPr>
        <w:pStyle w:val="Heading1"/>
      </w:pPr>
      <w:bookmarkStart w:id="86" w:name="_Toc213777606"/>
      <w:r w:rsidRPr="00D553A8">
        <w:t>D</w:t>
      </w:r>
      <w:r w:rsidR="009D3180" w:rsidRPr="00D553A8">
        <w:t>ataset design</w:t>
      </w:r>
      <w:r w:rsidR="00316AE0">
        <w:t>,</w:t>
      </w:r>
      <w:r w:rsidR="00264F5C">
        <w:t xml:space="preserve"> </w:t>
      </w:r>
      <w:r w:rsidR="00A55794" w:rsidRPr="00D553A8">
        <w:t>performance metrics</w:t>
      </w:r>
      <w:r w:rsidR="00316AE0">
        <w:t xml:space="preserve"> and data management</w:t>
      </w:r>
      <w:bookmarkEnd w:id="86"/>
    </w:p>
    <w:p w14:paraId="3848E432" w14:textId="77777777" w:rsidR="00BF2AA8" w:rsidRDefault="00BF2AA8" w:rsidP="00222663">
      <w:pPr>
        <w:pStyle w:val="Heading2"/>
      </w:pPr>
      <w:bookmarkStart w:id="87" w:name="_Toc213777607"/>
      <w:r>
        <w:t>Alignment with standards and guidelines</w:t>
      </w:r>
      <w:bookmarkEnd w:id="87"/>
    </w:p>
    <w:p w14:paraId="434493EF" w14:textId="64477970" w:rsidR="00A55BCB" w:rsidRDefault="00BF2AA8" w:rsidP="00346212">
      <w:pPr>
        <w:spacing w:line="276" w:lineRule="auto"/>
      </w:pPr>
      <w:r w:rsidRPr="004F4429">
        <w:t>HQIP requires that all audits ensure their project design</w:t>
      </w:r>
      <w:r>
        <w:t xml:space="preserve">, </w:t>
      </w:r>
      <w:r w:rsidRPr="004F4429">
        <w:t>data</w:t>
      </w:r>
      <w:r>
        <w:t xml:space="preserve">set and metrics </w:t>
      </w:r>
      <w:r w:rsidRPr="004F4429">
        <w:t xml:space="preserve">remain </w:t>
      </w:r>
      <w:r w:rsidRPr="00D553A8">
        <w:t>align</w:t>
      </w:r>
      <w:r w:rsidR="00222C44">
        <w:t>ed</w:t>
      </w:r>
      <w:r w:rsidRPr="00D553A8">
        <w:t xml:space="preserve"> to current and</w:t>
      </w:r>
      <w:r>
        <w:t>,</w:t>
      </w:r>
      <w:r w:rsidRPr="00D553A8">
        <w:t xml:space="preserve"> where possible, forthcoming national guidance (including NICE) and quality standards of best practice.</w:t>
      </w:r>
      <w:r w:rsidR="00346212">
        <w:t xml:space="preserve"> </w:t>
      </w:r>
      <w:r w:rsidRPr="00D553A8">
        <w:t xml:space="preserve">Regular review of the relevant national standards (e.g. from NICE) and guidance must be considered for aspects which fall within the scope of the project including the project’s </w:t>
      </w:r>
      <w:r w:rsidRPr="00596D91">
        <w:t>datasets.</w:t>
      </w:r>
      <w:r w:rsidR="00474E20" w:rsidRPr="00596D91">
        <w:t xml:space="preserve"> See Appendix 1 for a list of some of the relevant standards and publications which may inform the audit. Please note this list is not exhaustive.</w:t>
      </w:r>
      <w:r w:rsidRPr="00D553A8">
        <w:t xml:space="preserve"> </w:t>
      </w:r>
    </w:p>
    <w:p w14:paraId="27D02792" w14:textId="77777777" w:rsidR="00474E20" w:rsidRPr="00D553A8" w:rsidRDefault="00474E20" w:rsidP="00311E27">
      <w:pPr>
        <w:spacing w:line="276" w:lineRule="auto"/>
      </w:pPr>
    </w:p>
    <w:p w14:paraId="38EC0021" w14:textId="0B1ED4F7" w:rsidR="00A55794" w:rsidRPr="00D553A8" w:rsidRDefault="00A55794" w:rsidP="00311E27">
      <w:pPr>
        <w:pStyle w:val="Heading2"/>
        <w:spacing w:line="276" w:lineRule="auto"/>
      </w:pPr>
      <w:bookmarkStart w:id="88" w:name="_Toc213777608"/>
      <w:r w:rsidRPr="00D553A8">
        <w:lastRenderedPageBreak/>
        <w:t>Dataset</w:t>
      </w:r>
      <w:bookmarkEnd w:id="88"/>
    </w:p>
    <w:p w14:paraId="73E3C495" w14:textId="4B18CA7F" w:rsidR="00AE5540" w:rsidRPr="00AE5540" w:rsidRDefault="00A55794" w:rsidP="009C564C">
      <w:pPr>
        <w:spacing w:line="276" w:lineRule="auto"/>
        <w:rPr>
          <w:rFonts w:asciiTheme="minorHAnsi" w:hAnsiTheme="minorHAnsi"/>
        </w:rPr>
      </w:pPr>
      <w:r w:rsidRPr="00D553A8">
        <w:rPr>
          <w:rFonts w:asciiTheme="minorHAnsi" w:hAnsiTheme="minorHAnsi"/>
        </w:rPr>
        <w:t>The project</w:t>
      </w:r>
      <w:r w:rsidRPr="00D553A8">
        <w:rPr>
          <w:rFonts w:asciiTheme="minorHAnsi" w:hAnsiTheme="minorHAnsi" w:cstheme="minorHAnsi"/>
        </w:rPr>
        <w:t xml:space="preserve"> dataset </w:t>
      </w:r>
      <w:r w:rsidR="0079447F" w:rsidRPr="0079447F">
        <w:rPr>
          <w:rFonts w:asciiTheme="minorHAnsi" w:hAnsiTheme="minorHAnsi" w:cstheme="minorHAnsi"/>
        </w:rPr>
        <w:t xml:space="preserve">(i.e. the totality of the information collected to undertake the audit) </w:t>
      </w:r>
      <w:r w:rsidRPr="00D553A8">
        <w:rPr>
          <w:rFonts w:asciiTheme="minorHAnsi" w:hAnsiTheme="minorHAnsi" w:cstheme="minorHAnsi"/>
        </w:rPr>
        <w:t xml:space="preserve">should be comprehensive enough to support </w:t>
      </w:r>
      <w:r w:rsidR="00070865">
        <w:rPr>
          <w:rFonts w:asciiTheme="minorHAnsi" w:hAnsiTheme="minorHAnsi" w:cstheme="minorHAnsi"/>
        </w:rPr>
        <w:t xml:space="preserve">healthcare </w:t>
      </w:r>
      <w:r w:rsidRPr="00D553A8">
        <w:rPr>
          <w:rFonts w:asciiTheme="minorHAnsi" w:hAnsiTheme="minorHAnsi" w:cstheme="minorHAnsi"/>
        </w:rPr>
        <w:t>quality improvement and assurance</w:t>
      </w:r>
      <w:r w:rsidR="00EA0200" w:rsidRPr="00D553A8">
        <w:rPr>
          <w:rFonts w:asciiTheme="minorHAnsi" w:hAnsiTheme="minorHAnsi" w:cstheme="minorHAnsi"/>
        </w:rPr>
        <w:t xml:space="preserve"> and </w:t>
      </w:r>
      <w:r w:rsidRPr="00D553A8">
        <w:rPr>
          <w:rFonts w:asciiTheme="minorHAnsi" w:hAnsiTheme="minorHAnsi" w:cstheme="minorHAnsi"/>
        </w:rPr>
        <w:t xml:space="preserve">allow for adequate risk adjustment, while balancing the need to minimise local burden. </w:t>
      </w:r>
      <w:r w:rsidR="00AE5540" w:rsidRPr="00703B70">
        <w:rPr>
          <w:rFonts w:asciiTheme="minorHAnsi" w:hAnsiTheme="minorHAnsi"/>
        </w:rPr>
        <w:t xml:space="preserve">The project design must </w:t>
      </w:r>
      <w:r w:rsidR="002A5F66">
        <w:rPr>
          <w:rFonts w:asciiTheme="minorHAnsi" w:hAnsiTheme="minorHAnsi"/>
        </w:rPr>
        <w:t xml:space="preserve">consider </w:t>
      </w:r>
      <w:r w:rsidR="00AE5540" w:rsidRPr="00703B70">
        <w:rPr>
          <w:rFonts w:asciiTheme="minorHAnsi" w:hAnsiTheme="minorHAnsi"/>
        </w:rPr>
        <w:t xml:space="preserve">the anticipated local workload for </w:t>
      </w:r>
      <w:r w:rsidR="00DC6B47" w:rsidRPr="00703B70">
        <w:rPr>
          <w:rFonts w:asciiTheme="minorHAnsi" w:hAnsiTheme="minorHAnsi"/>
        </w:rPr>
        <w:t>participation and</w:t>
      </w:r>
      <w:r w:rsidR="00AE5540" w:rsidRPr="00703B70">
        <w:rPr>
          <w:rFonts w:asciiTheme="minorHAnsi" w:hAnsiTheme="minorHAnsi"/>
        </w:rPr>
        <w:t xml:space="preserve"> minimise this wherever possible.</w:t>
      </w:r>
      <w:r w:rsidR="00AE5540">
        <w:rPr>
          <w:rFonts w:asciiTheme="minorHAnsi" w:hAnsiTheme="minorHAnsi"/>
        </w:rPr>
        <w:t xml:space="preserve"> </w:t>
      </w:r>
      <w:r w:rsidR="00AE5540" w:rsidRPr="00703B70">
        <w:rPr>
          <w:rFonts w:asciiTheme="minorHAnsi" w:hAnsiTheme="minorHAnsi"/>
        </w:rPr>
        <w:t>The dataset size should be the minimum required to effectively meet the requirements of the project.</w:t>
      </w:r>
    </w:p>
    <w:p w14:paraId="11E927EE" w14:textId="77777777" w:rsidR="00AE5540" w:rsidRDefault="00AE5540" w:rsidP="00311E27">
      <w:pPr>
        <w:tabs>
          <w:tab w:val="left" w:pos="1701"/>
          <w:tab w:val="left" w:pos="3261"/>
        </w:tabs>
        <w:spacing w:line="276" w:lineRule="auto"/>
        <w:rPr>
          <w:rFonts w:asciiTheme="minorHAnsi" w:hAnsiTheme="minorHAnsi" w:cstheme="minorHAnsi"/>
        </w:rPr>
      </w:pPr>
    </w:p>
    <w:p w14:paraId="50CDD6B1" w14:textId="111D4421" w:rsidR="00A55794" w:rsidRPr="00D553A8" w:rsidRDefault="00A55794" w:rsidP="00311E27">
      <w:pPr>
        <w:tabs>
          <w:tab w:val="left" w:pos="1701"/>
          <w:tab w:val="left" w:pos="3261"/>
        </w:tabs>
        <w:spacing w:line="276" w:lineRule="auto"/>
      </w:pPr>
      <w:r w:rsidRPr="00D553A8">
        <w:rPr>
          <w:rFonts w:asciiTheme="minorHAnsi" w:hAnsiTheme="minorHAnsi" w:cstheme="minorHAnsi"/>
        </w:rPr>
        <w:t xml:space="preserve">Relevant patient protected characteristics (e.g. ethnicity and disability) and other information (such as socioeconomic deprivation) must be collected, analysed and reported to permit evaluation of access to services, health inequality and inequity. </w:t>
      </w:r>
      <w:r w:rsidR="00DE55DB" w:rsidRPr="00D553A8">
        <w:rPr>
          <w:rFonts w:asciiTheme="minorHAnsi" w:hAnsiTheme="minorHAnsi" w:cstheme="minorHAnsi"/>
        </w:rPr>
        <w:t xml:space="preserve">The </w:t>
      </w:r>
      <w:r w:rsidR="00DE55DB" w:rsidRPr="00D553A8">
        <w:rPr>
          <w:rFonts w:asciiTheme="minorHAnsi" w:hAnsiTheme="minorHAnsi"/>
        </w:rPr>
        <w:t>reporting of audit findings should include a breakdown of analysis by ethnicity and socioeconomic deprivation</w:t>
      </w:r>
      <w:r w:rsidR="00C92BD5" w:rsidRPr="00D553A8">
        <w:rPr>
          <w:rFonts w:asciiTheme="minorHAnsi" w:hAnsiTheme="minorHAnsi"/>
        </w:rPr>
        <w:t xml:space="preserve"> </w:t>
      </w:r>
      <w:bookmarkStart w:id="89" w:name="_Hlk142062474"/>
      <w:r w:rsidR="00C92BD5" w:rsidRPr="00D553A8">
        <w:rPr>
          <w:rFonts w:eastAsia="Times New Roman"/>
        </w:rPr>
        <w:t xml:space="preserve">(supporting the </w:t>
      </w:r>
      <w:hyperlink r:id="rId17" w:history="1">
        <w:r w:rsidR="002A5F66" w:rsidRPr="002A5F66">
          <w:rPr>
            <w:rStyle w:val="Hyperlink"/>
            <w:rFonts w:cs="Calibri"/>
          </w:rPr>
          <w:t>Core20PLUS5</w:t>
        </w:r>
      </w:hyperlink>
      <w:r w:rsidR="00C92BD5" w:rsidRPr="00D553A8">
        <w:rPr>
          <w:rFonts w:eastAsia="Times New Roman"/>
        </w:rPr>
        <w:t xml:space="preserve"> approach in England</w:t>
      </w:r>
      <w:r w:rsidR="008B5B6E">
        <w:rPr>
          <w:rFonts w:eastAsia="Times New Roman"/>
        </w:rPr>
        <w:t xml:space="preserve"> and equivalent policies in other nations/dependencies</w:t>
      </w:r>
      <w:r w:rsidR="00C92BD5" w:rsidRPr="00D553A8">
        <w:rPr>
          <w:rFonts w:eastAsia="Times New Roman"/>
        </w:rPr>
        <w:t>).</w:t>
      </w:r>
      <w:bookmarkEnd w:id="89"/>
    </w:p>
    <w:p w14:paraId="03B222F0" w14:textId="77777777" w:rsidR="00F919FC" w:rsidRPr="00D553A8" w:rsidRDefault="00F919FC" w:rsidP="00311E27">
      <w:pPr>
        <w:tabs>
          <w:tab w:val="left" w:pos="1701"/>
          <w:tab w:val="left" w:pos="3261"/>
        </w:tabs>
        <w:spacing w:line="276" w:lineRule="auto"/>
      </w:pPr>
    </w:p>
    <w:p w14:paraId="63F31479" w14:textId="77777777" w:rsidR="00F919FC" w:rsidRPr="00D553A8" w:rsidRDefault="00F919FC" w:rsidP="00311E27">
      <w:pPr>
        <w:tabs>
          <w:tab w:val="left" w:pos="1701"/>
          <w:tab w:val="left" w:pos="3261"/>
        </w:tabs>
        <w:spacing w:line="276" w:lineRule="auto"/>
        <w:rPr>
          <w:rFonts w:asciiTheme="minorHAnsi" w:hAnsiTheme="minorHAnsi" w:cstheme="minorHAnsi"/>
        </w:rPr>
      </w:pPr>
      <w:r w:rsidRPr="00D553A8">
        <w:rPr>
          <w:rFonts w:asciiTheme="minorHAnsi" w:hAnsiTheme="minorHAnsi" w:cstheme="minorHAnsi"/>
        </w:rPr>
        <w:t>The supplier will be expected to engage in appropriate stakeholder consultations during dataset development and review, including, but not limited to:</w:t>
      </w:r>
    </w:p>
    <w:p w14:paraId="7F654423" w14:textId="3D32A90D" w:rsidR="00F919FC" w:rsidRPr="00D553A8" w:rsidRDefault="00EB35DE" w:rsidP="00640C59">
      <w:pPr>
        <w:pStyle w:val="ListParagraph"/>
        <w:numPr>
          <w:ilvl w:val="0"/>
          <w:numId w:val="5"/>
        </w:numPr>
        <w:jc w:val="left"/>
      </w:pPr>
      <w:r>
        <w:t xml:space="preserve">Patients </w:t>
      </w:r>
      <w:r w:rsidR="00F919FC" w:rsidRPr="00D553A8">
        <w:t>and carers</w:t>
      </w:r>
    </w:p>
    <w:p w14:paraId="6AF3FF47" w14:textId="77777777" w:rsidR="00F919FC" w:rsidRPr="00D553A8" w:rsidRDefault="00F919FC" w:rsidP="00640C59">
      <w:pPr>
        <w:pStyle w:val="ListParagraph"/>
        <w:numPr>
          <w:ilvl w:val="0"/>
          <w:numId w:val="5"/>
        </w:numPr>
        <w:jc w:val="left"/>
      </w:pPr>
      <w:r w:rsidRPr="00D553A8">
        <w:t>Commissioners (local and national)</w:t>
      </w:r>
    </w:p>
    <w:p w14:paraId="2D953DB5" w14:textId="77777777" w:rsidR="00F919FC" w:rsidRPr="00D553A8" w:rsidRDefault="00F919FC" w:rsidP="00640C59">
      <w:pPr>
        <w:pStyle w:val="ListParagraph"/>
        <w:numPr>
          <w:ilvl w:val="0"/>
          <w:numId w:val="5"/>
        </w:numPr>
        <w:jc w:val="left"/>
      </w:pPr>
      <w:r w:rsidRPr="00D553A8">
        <w:t>Clinicians</w:t>
      </w:r>
    </w:p>
    <w:p w14:paraId="516D066B" w14:textId="77777777" w:rsidR="00F919FC" w:rsidRPr="00D553A8" w:rsidRDefault="00F919FC" w:rsidP="00640C59">
      <w:pPr>
        <w:pStyle w:val="ListParagraph"/>
        <w:numPr>
          <w:ilvl w:val="0"/>
          <w:numId w:val="5"/>
        </w:numPr>
        <w:jc w:val="left"/>
      </w:pPr>
      <w:r w:rsidRPr="00D553A8">
        <w:t xml:space="preserve">Third sector organisations </w:t>
      </w:r>
    </w:p>
    <w:p w14:paraId="5E9C2384" w14:textId="72CF21FB" w:rsidR="00F919FC" w:rsidRDefault="00F919FC" w:rsidP="00640C59">
      <w:pPr>
        <w:pStyle w:val="ListParagraph"/>
        <w:numPr>
          <w:ilvl w:val="0"/>
          <w:numId w:val="5"/>
        </w:numPr>
        <w:jc w:val="left"/>
      </w:pPr>
      <w:r w:rsidRPr="00D553A8">
        <w:t>Organisations setting professional standards/users of the data for quality improvement</w:t>
      </w:r>
      <w:r w:rsidR="00247B1F" w:rsidRPr="00D553A8">
        <w:t>, evidence</w:t>
      </w:r>
      <w:r w:rsidRPr="00D553A8">
        <w:t xml:space="preserve"> and benchmarking, e.g. NICE</w:t>
      </w:r>
      <w:r w:rsidR="004800A5" w:rsidRPr="00D553A8">
        <w:t>,</w:t>
      </w:r>
      <w:r w:rsidR="00647CBB" w:rsidRPr="00D553A8">
        <w:t xml:space="preserve"> Care Quality Commission (CQC)</w:t>
      </w:r>
    </w:p>
    <w:p w14:paraId="25A7BB09" w14:textId="3EC6FBED" w:rsidR="00B32574" w:rsidRDefault="00B32574" w:rsidP="00640C59">
      <w:pPr>
        <w:pStyle w:val="ListParagraph"/>
        <w:numPr>
          <w:ilvl w:val="0"/>
          <w:numId w:val="5"/>
        </w:numPr>
        <w:jc w:val="left"/>
      </w:pPr>
      <w:r>
        <w:t>The Professional Records Standards Body (PRSB) in relation to relevant information record standards</w:t>
      </w:r>
    </w:p>
    <w:p w14:paraId="417F8B32" w14:textId="21A0285D" w:rsidR="00B32574" w:rsidRPr="00D553A8" w:rsidRDefault="00B32574" w:rsidP="00640C59">
      <w:pPr>
        <w:pStyle w:val="ListParagraph"/>
        <w:numPr>
          <w:ilvl w:val="0"/>
          <w:numId w:val="5"/>
        </w:numPr>
        <w:jc w:val="left"/>
      </w:pPr>
      <w:r>
        <w:t xml:space="preserve">Relevant data and terminology standards including clinical coding and the NHS data model and data dictionary. </w:t>
      </w:r>
    </w:p>
    <w:p w14:paraId="270B6755" w14:textId="77777777" w:rsidR="003A6270" w:rsidRPr="00D553A8" w:rsidRDefault="003A6270" w:rsidP="00311E27">
      <w:pPr>
        <w:spacing w:line="276" w:lineRule="auto"/>
      </w:pPr>
    </w:p>
    <w:p w14:paraId="7B87DC53" w14:textId="06436240" w:rsidR="00A55794" w:rsidRPr="00D553A8" w:rsidRDefault="00A55BCB" w:rsidP="00311E27">
      <w:pPr>
        <w:pStyle w:val="Heading2"/>
        <w:spacing w:line="276" w:lineRule="auto"/>
      </w:pPr>
      <w:bookmarkStart w:id="90" w:name="_Toc213777609"/>
      <w:r w:rsidRPr="00D553A8">
        <w:t>M</w:t>
      </w:r>
      <w:r w:rsidR="00A55794" w:rsidRPr="00D553A8">
        <w:t>etrics</w:t>
      </w:r>
      <w:bookmarkEnd w:id="90"/>
    </w:p>
    <w:p w14:paraId="33B41B18" w14:textId="77777777" w:rsidR="003340B5" w:rsidRDefault="003340B5" w:rsidP="003340B5">
      <w:pPr>
        <w:spacing w:line="276" w:lineRule="auto"/>
      </w:pPr>
      <w:r>
        <w:t>The development of metrics should be guided by the healthcare quality improvement plan for each audit workstream. Metrics used in this audit should:</w:t>
      </w:r>
    </w:p>
    <w:p w14:paraId="084DEA68" w14:textId="408DC46A" w:rsidR="003340B5" w:rsidRPr="007A5072" w:rsidRDefault="003340B5" w:rsidP="00640C59">
      <w:pPr>
        <w:pStyle w:val="ListParagraph"/>
        <w:numPr>
          <w:ilvl w:val="0"/>
          <w:numId w:val="14"/>
        </w:numPr>
        <w:ind w:left="720"/>
        <w:rPr>
          <w:rFonts w:asciiTheme="minorHAnsi" w:hAnsiTheme="minorHAnsi"/>
        </w:rPr>
      </w:pPr>
      <w:r>
        <w:t xml:space="preserve">Be limited </w:t>
      </w:r>
      <w:r w:rsidRPr="007A5072">
        <w:rPr>
          <w:rFonts w:asciiTheme="minorHAnsi" w:hAnsiTheme="minorHAnsi"/>
        </w:rPr>
        <w:t>to a maximum of 10 per audit workstream</w:t>
      </w:r>
    </w:p>
    <w:p w14:paraId="1F8045E8" w14:textId="0CD5FCBF" w:rsidR="003340B5" w:rsidRPr="007A5072" w:rsidRDefault="003340B5" w:rsidP="00640C59">
      <w:pPr>
        <w:pStyle w:val="ListParagraph"/>
        <w:numPr>
          <w:ilvl w:val="0"/>
          <w:numId w:val="14"/>
        </w:numPr>
        <w:ind w:left="720"/>
        <w:rPr>
          <w:rFonts w:asciiTheme="minorHAnsi" w:hAnsiTheme="minorHAnsi"/>
        </w:rPr>
      </w:pPr>
      <w:r>
        <w:t>Focus on outcomes of care, and include process measures only where there is an evidence-based link to outcomes</w:t>
      </w:r>
    </w:p>
    <w:p w14:paraId="1706951F" w14:textId="57188BC2" w:rsidR="003340B5" w:rsidRDefault="003340B5" w:rsidP="00640C59">
      <w:pPr>
        <w:pStyle w:val="ListParagraph"/>
        <w:numPr>
          <w:ilvl w:val="0"/>
          <w:numId w:val="14"/>
        </w:numPr>
        <w:ind w:left="720"/>
      </w:pPr>
      <w:r>
        <w:t>Have a clear and explicit relationship with the relevant standards and guidance</w:t>
      </w:r>
    </w:p>
    <w:p w14:paraId="729396CF" w14:textId="1063E22B" w:rsidR="003340B5" w:rsidRDefault="003340B5" w:rsidP="00640C59">
      <w:pPr>
        <w:pStyle w:val="ListParagraph"/>
        <w:numPr>
          <w:ilvl w:val="0"/>
          <w:numId w:val="14"/>
        </w:numPr>
        <w:ind w:left="720"/>
      </w:pPr>
      <w:r>
        <w:t xml:space="preserve">Be reviewed annually and revised as necessary. Whilst a degree of continuity will be essential </w:t>
      </w:r>
      <w:r w:rsidR="0057476D">
        <w:t>to</w:t>
      </w:r>
      <w:r>
        <w:t xml:space="preserve"> be able to report year on year trends, a</w:t>
      </w:r>
      <w:r w:rsidRPr="00AE171F">
        <w:t xml:space="preserve">udits must undertake an annual review of metrics and datasets and retire metrics that are no longer applicable to the </w:t>
      </w:r>
      <w:r>
        <w:t xml:space="preserve">healthcare </w:t>
      </w:r>
      <w:r w:rsidRPr="00AE171F">
        <w:t>quality improvement aims of the project or where there have been sustained improvements in patient outcomes</w:t>
      </w:r>
      <w:r>
        <w:t>.</w:t>
      </w:r>
    </w:p>
    <w:p w14:paraId="230D6728" w14:textId="77777777" w:rsidR="003340B5" w:rsidRDefault="003340B5" w:rsidP="003340B5">
      <w:pPr>
        <w:spacing w:line="276" w:lineRule="auto"/>
      </w:pPr>
    </w:p>
    <w:p w14:paraId="4005DE7E" w14:textId="49CC0597" w:rsidR="003265B4" w:rsidRDefault="003340B5" w:rsidP="003340B5">
      <w:pPr>
        <w:spacing w:line="276" w:lineRule="auto"/>
      </w:pPr>
      <w:r>
        <w:t xml:space="preserve">Where a metric </w:t>
      </w:r>
      <w:r w:rsidR="00791599">
        <w:t xml:space="preserve">is </w:t>
      </w:r>
      <w:r>
        <w:t>essential to the project’s improvement goals cannot be constructed from existing data collections, the additional fields required should be identified and the justification articulated clearly. The dataset and all associated metrics will be subject to review and sign off by HQIP and funders on an annual basis.</w:t>
      </w:r>
      <w:r w:rsidR="003265B4">
        <w:t xml:space="preserve"> </w:t>
      </w:r>
      <w:r w:rsidR="003265B4" w:rsidRPr="003265B4">
        <w:t>HQIP will work with the supplier to agree the final list of performance metrics</w:t>
      </w:r>
      <w:r w:rsidR="003265B4">
        <w:t>.</w:t>
      </w:r>
    </w:p>
    <w:p w14:paraId="3EFFEC2E" w14:textId="77777777" w:rsidR="003A6270" w:rsidRDefault="003A6270" w:rsidP="00311E27">
      <w:pPr>
        <w:pStyle w:val="ListParagraph"/>
        <w:jc w:val="left"/>
      </w:pPr>
    </w:p>
    <w:p w14:paraId="6E70580A" w14:textId="77777777" w:rsidR="000C575D" w:rsidRPr="00D553A8" w:rsidRDefault="000C575D" w:rsidP="000C575D">
      <w:pPr>
        <w:pStyle w:val="Heading2"/>
        <w:spacing w:line="276" w:lineRule="auto"/>
      </w:pPr>
      <w:bookmarkStart w:id="91" w:name="_Toc213777610"/>
      <w:r w:rsidRPr="00D553A8">
        <w:t>Participation and case ascertainment</w:t>
      </w:r>
      <w:bookmarkEnd w:id="91"/>
      <w:r w:rsidRPr="00D553A8">
        <w:t xml:space="preserve"> </w:t>
      </w:r>
    </w:p>
    <w:p w14:paraId="66EE7356" w14:textId="144E8C5C" w:rsidR="000C575D" w:rsidRPr="00D553A8" w:rsidRDefault="000C575D" w:rsidP="000C575D">
      <w:pPr>
        <w:tabs>
          <w:tab w:val="left" w:pos="1701"/>
          <w:tab w:val="left" w:pos="3261"/>
        </w:tabs>
        <w:spacing w:line="276" w:lineRule="auto"/>
        <w:rPr>
          <w:rFonts w:asciiTheme="minorHAnsi" w:hAnsiTheme="minorHAnsi"/>
        </w:rPr>
      </w:pPr>
      <w:r w:rsidRPr="00D553A8">
        <w:rPr>
          <w:rFonts w:asciiTheme="minorHAnsi" w:hAnsiTheme="minorHAnsi"/>
        </w:rPr>
        <w:t xml:space="preserve">It is expected that the audit strives for 100% </w:t>
      </w:r>
      <w:r w:rsidR="00B32574">
        <w:rPr>
          <w:rFonts w:asciiTheme="minorHAnsi" w:hAnsiTheme="minorHAnsi"/>
        </w:rPr>
        <w:t xml:space="preserve">provider </w:t>
      </w:r>
      <w:r w:rsidRPr="00D553A8">
        <w:rPr>
          <w:rFonts w:asciiTheme="minorHAnsi" w:hAnsiTheme="minorHAnsi"/>
        </w:rPr>
        <w:t xml:space="preserve">participation and case ascertainment across all </w:t>
      </w:r>
      <w:r w:rsidRPr="00D553A8">
        <w:rPr>
          <w:rFonts w:asciiTheme="minorHAnsi" w:hAnsiTheme="minorHAnsi"/>
        </w:rPr>
        <w:lastRenderedPageBreak/>
        <w:t>elements. To maximise participation the supplier should engage meaningfully and effectively with key stakeholders, such as clinicians, commissioners, and system providers. This is particularly important for elements which rely on manual data entry by clinicians.</w:t>
      </w:r>
    </w:p>
    <w:p w14:paraId="64CBA63F" w14:textId="77777777" w:rsidR="000C575D" w:rsidRPr="00D553A8" w:rsidRDefault="000C575D" w:rsidP="000C575D">
      <w:pPr>
        <w:tabs>
          <w:tab w:val="left" w:pos="1701"/>
          <w:tab w:val="left" w:pos="3261"/>
        </w:tabs>
        <w:spacing w:line="276" w:lineRule="auto"/>
        <w:rPr>
          <w:rFonts w:asciiTheme="minorHAnsi" w:hAnsiTheme="minorHAnsi"/>
        </w:rPr>
      </w:pPr>
    </w:p>
    <w:p w14:paraId="73B5B053" w14:textId="2F9FF9BA" w:rsidR="000C575D" w:rsidRPr="00D553A8" w:rsidRDefault="000C575D" w:rsidP="000C575D">
      <w:pPr>
        <w:tabs>
          <w:tab w:val="left" w:pos="1701"/>
          <w:tab w:val="left" w:pos="3261"/>
        </w:tabs>
        <w:spacing w:line="276" w:lineRule="auto"/>
        <w:rPr>
          <w:rFonts w:asciiTheme="minorHAnsi" w:hAnsiTheme="minorHAnsi"/>
        </w:rPr>
      </w:pPr>
      <w:r w:rsidRPr="00D553A8">
        <w:rPr>
          <w:rFonts w:asciiTheme="minorHAnsi" w:hAnsiTheme="minorHAnsi"/>
        </w:rPr>
        <w:t>The supplier is expected, where possible, to use routine national data sources (e.g. hospital episode statistics (HES), Patient Episode Database for Wales (PEDW)) to ensure case ascertainment is</w:t>
      </w:r>
      <w:r w:rsidR="009C76B4">
        <w:rPr>
          <w:rFonts w:asciiTheme="minorHAnsi" w:hAnsiTheme="minorHAnsi"/>
        </w:rPr>
        <w:t xml:space="preserve"> measured and optimised</w:t>
      </w:r>
      <w:r w:rsidRPr="00D553A8">
        <w:rPr>
          <w:rFonts w:asciiTheme="minorHAnsi" w:hAnsiTheme="minorHAnsi"/>
        </w:rPr>
        <w:t>.</w:t>
      </w:r>
    </w:p>
    <w:p w14:paraId="1C3A6082" w14:textId="77777777" w:rsidR="000C575D" w:rsidRPr="00D553A8" w:rsidRDefault="000C575D" w:rsidP="000C575D">
      <w:pPr>
        <w:tabs>
          <w:tab w:val="left" w:pos="1701"/>
          <w:tab w:val="left" w:pos="3261"/>
        </w:tabs>
        <w:spacing w:line="276" w:lineRule="auto"/>
        <w:rPr>
          <w:rFonts w:asciiTheme="minorHAnsi" w:hAnsiTheme="minorHAnsi"/>
        </w:rPr>
      </w:pPr>
    </w:p>
    <w:p w14:paraId="204216FA" w14:textId="2523B569" w:rsidR="000C575D" w:rsidRPr="00D553A8" w:rsidRDefault="000C575D" w:rsidP="000C575D">
      <w:pPr>
        <w:spacing w:line="276" w:lineRule="auto"/>
      </w:pPr>
      <w:r w:rsidRPr="005B5686">
        <w:t xml:space="preserve">The ascertainment methodology must be included in the analysis plan </w:t>
      </w:r>
      <w:r w:rsidR="00791599" w:rsidRPr="005B5686">
        <w:t>and</w:t>
      </w:r>
      <w:r w:rsidRPr="005B5686">
        <w:t xml:space="preserve"> reported publicly alongside the metrics results.</w:t>
      </w:r>
    </w:p>
    <w:p w14:paraId="6BA9C0D0" w14:textId="77777777" w:rsidR="00264F5C" w:rsidRPr="00D553A8" w:rsidRDefault="00264F5C" w:rsidP="000C575D">
      <w:pPr>
        <w:spacing w:line="276" w:lineRule="auto"/>
      </w:pPr>
    </w:p>
    <w:p w14:paraId="46FC0B7B" w14:textId="67671468" w:rsidR="0049690D" w:rsidRDefault="006A1E0E" w:rsidP="0049690D">
      <w:pPr>
        <w:pStyle w:val="Heading2"/>
        <w:spacing w:line="276" w:lineRule="auto"/>
      </w:pPr>
      <w:bookmarkStart w:id="92" w:name="_Toc213777611"/>
      <w:r>
        <w:t xml:space="preserve">Data </w:t>
      </w:r>
      <w:r w:rsidR="0096264E">
        <w:t>acquisition</w:t>
      </w:r>
      <w:bookmarkEnd w:id="92"/>
    </w:p>
    <w:p w14:paraId="065CA76F" w14:textId="662FFB59" w:rsidR="0096264E" w:rsidRDefault="0096264E" w:rsidP="0096264E">
      <w:pPr>
        <w:pStyle w:val="Heading3"/>
      </w:pPr>
      <w:bookmarkStart w:id="93" w:name="_Toc213777612"/>
      <w:r>
        <w:t>Data sources</w:t>
      </w:r>
      <w:bookmarkEnd w:id="93"/>
    </w:p>
    <w:p w14:paraId="2933DFF8" w14:textId="552D9653" w:rsidR="00222663" w:rsidRDefault="0085131A" w:rsidP="001A5DC3">
      <w:pPr>
        <w:spacing w:line="276" w:lineRule="auto"/>
      </w:pPr>
      <w:r w:rsidRPr="00703B70">
        <w:rPr>
          <w:rFonts w:asciiTheme="minorHAnsi" w:hAnsiTheme="minorHAnsi"/>
        </w:rPr>
        <w:t xml:space="preserve">Suppliers should plan how data items will be </w:t>
      </w:r>
      <w:r>
        <w:rPr>
          <w:rFonts w:asciiTheme="minorHAnsi" w:hAnsiTheme="minorHAnsi"/>
        </w:rPr>
        <w:t>sourced</w:t>
      </w:r>
      <w:r w:rsidRPr="00703B70">
        <w:rPr>
          <w:rFonts w:asciiTheme="minorHAnsi" w:hAnsiTheme="minorHAnsi"/>
        </w:rPr>
        <w:t xml:space="preserve"> and the data flows which will </w:t>
      </w:r>
      <w:r w:rsidR="000533E7" w:rsidRPr="000533E7">
        <w:rPr>
          <w:rFonts w:asciiTheme="minorHAnsi" w:hAnsiTheme="minorHAnsi"/>
        </w:rPr>
        <w:t>deliver the requirements of the contract</w:t>
      </w:r>
      <w:r w:rsidRPr="00703B70">
        <w:rPr>
          <w:rFonts w:asciiTheme="minorHAnsi" w:hAnsiTheme="minorHAnsi"/>
        </w:rPr>
        <w:t xml:space="preserve">. </w:t>
      </w:r>
      <w:r w:rsidR="001A5DC3">
        <w:t>The supplier will</w:t>
      </w:r>
      <w:r w:rsidR="00222663">
        <w:t xml:space="preserve"> need to carefully consider how they source all the data required. The default expectation is that</w:t>
      </w:r>
      <w:r w:rsidR="000533E7">
        <w:t xml:space="preserve"> </w:t>
      </w:r>
      <w:r w:rsidR="000533E7" w:rsidRPr="000533E7">
        <w:t>existing digital</w:t>
      </w:r>
      <w:r w:rsidR="00222663">
        <w:t xml:space="preserve"> data will be used wherever available, and that bespoke collection of data is avoided unless </w:t>
      </w:r>
      <w:r w:rsidR="002C3AC4">
        <w:t>there</w:t>
      </w:r>
      <w:r w:rsidR="00222663">
        <w:t xml:space="preserve"> is no other means of sourcing the data</w:t>
      </w:r>
      <w:r w:rsidR="00D33235">
        <w:t xml:space="preserve"> capable of meeting the needs of the project</w:t>
      </w:r>
      <w:r w:rsidR="00222663">
        <w:t xml:space="preserve">. Regardless of source, every data item must be justifiable, essential to the analysis and reporting of the audit </w:t>
      </w:r>
      <w:r w:rsidR="002C3AC4">
        <w:t>metrics and</w:t>
      </w:r>
      <w:r w:rsidR="00222663">
        <w:t xml:space="preserve"> used effectively.</w:t>
      </w:r>
    </w:p>
    <w:p w14:paraId="5D6B0D56" w14:textId="77777777" w:rsidR="00222663" w:rsidRDefault="00222663" w:rsidP="001A5DC3">
      <w:pPr>
        <w:spacing w:line="276" w:lineRule="auto"/>
      </w:pPr>
    </w:p>
    <w:p w14:paraId="780E02FA" w14:textId="4990BC4D" w:rsidR="002C3AC4" w:rsidRDefault="002C3AC4" w:rsidP="001A5DC3">
      <w:pPr>
        <w:spacing w:line="276" w:lineRule="auto"/>
      </w:pPr>
      <w:r>
        <w:t>Suppliers will first need to identify all the possibilities for sourcing data in ways that require no additional work for organisations providing care, in other words, existing</w:t>
      </w:r>
      <w:r w:rsidR="00D33235">
        <w:t xml:space="preserve"> </w:t>
      </w:r>
      <w:r w:rsidR="000533E7">
        <w:t>national</w:t>
      </w:r>
      <w:r>
        <w:t xml:space="preserve"> data sources </w:t>
      </w:r>
      <w:r w:rsidR="001A5DC3">
        <w:t>(for example, Hospital Episode Statistics and the Patient Episode Database for Wales)</w:t>
      </w:r>
      <w:r>
        <w:t>.</w:t>
      </w:r>
      <w:r w:rsidR="000533E7">
        <w:t xml:space="preserve"> </w:t>
      </w:r>
      <w:r w:rsidR="000533E7" w:rsidRPr="00D553A8">
        <w:t>All efforts must be made to locate any pre-existing national data collections with overlapping datasets that might provide an appropriate source of data for the project.</w:t>
      </w:r>
      <w:r w:rsidR="000533E7">
        <w:t xml:space="preserve"> </w:t>
      </w:r>
      <w:r>
        <w:t xml:space="preserve"> </w:t>
      </w:r>
    </w:p>
    <w:p w14:paraId="437B69F2" w14:textId="77777777" w:rsidR="002C3AC4" w:rsidRDefault="002C3AC4" w:rsidP="001A5DC3">
      <w:pPr>
        <w:spacing w:line="276" w:lineRule="auto"/>
      </w:pPr>
    </w:p>
    <w:p w14:paraId="3C9ED07A" w14:textId="43776BCA" w:rsidR="008E70F3" w:rsidRDefault="002C3AC4" w:rsidP="002C3AC4">
      <w:pPr>
        <w:tabs>
          <w:tab w:val="left" w:pos="1701"/>
          <w:tab w:val="left" w:pos="3261"/>
        </w:tabs>
        <w:spacing w:line="276" w:lineRule="auto"/>
      </w:pPr>
      <w:r>
        <w:t>Next</w:t>
      </w:r>
      <w:r w:rsidR="001A5DC3">
        <w:t xml:space="preserve">, </w:t>
      </w:r>
      <w:r>
        <w:t xml:space="preserve">the supplier should </w:t>
      </w:r>
      <w:r w:rsidRPr="00D553A8">
        <w:t xml:space="preserve">identify any </w:t>
      </w:r>
      <w:r>
        <w:t xml:space="preserve">other </w:t>
      </w:r>
      <w:r w:rsidRPr="00D553A8">
        <w:t xml:space="preserve">existing </w:t>
      </w:r>
      <w:r w:rsidR="000533E7" w:rsidRPr="000533E7">
        <w:t>digital data sources</w:t>
      </w:r>
      <w:r w:rsidR="000533E7">
        <w:t xml:space="preserve"> </w:t>
      </w:r>
      <w:r w:rsidRPr="00D553A8">
        <w:t>of relevance.</w:t>
      </w:r>
      <w:r w:rsidR="000533E7" w:rsidRPr="000533E7">
        <w:rPr>
          <w:rFonts w:ascii="Segoe UI" w:hAnsi="Segoe UI" w:cs="Segoe UI"/>
          <w:sz w:val="18"/>
          <w:szCs w:val="18"/>
        </w:rPr>
        <w:t xml:space="preserve"> </w:t>
      </w:r>
      <w:r w:rsidR="000533E7" w:rsidRPr="000533E7">
        <w:t xml:space="preserve">Opportunities to access data held in specialist patient management systems or in Electronic Patient Records </w:t>
      </w:r>
      <w:r w:rsidR="0074764E">
        <w:t xml:space="preserve">(EPR) </w:t>
      </w:r>
      <w:r w:rsidR="000533E7" w:rsidRPr="000533E7">
        <w:t>should be explored, whether from the system providers or via local data extraction and upload.</w:t>
      </w:r>
      <w:r w:rsidR="000533E7">
        <w:t xml:space="preserve"> </w:t>
      </w:r>
      <w:r w:rsidR="000533E7" w:rsidRPr="000533E7">
        <w:t>Consideration must be made of the timeliness and local burden associated with this data acquisition</w:t>
      </w:r>
      <w:r w:rsidR="000533E7">
        <w:t>.</w:t>
      </w:r>
      <w:r>
        <w:t xml:space="preserve"> </w:t>
      </w:r>
      <w:r w:rsidR="000533E7">
        <w:t>U</w:t>
      </w:r>
      <w:r w:rsidRPr="00D553A8">
        <w:t xml:space="preserve">nnecessary duplication of data entry must be avoided and the provision of upload facilities from local databases </w:t>
      </w:r>
      <w:r w:rsidR="0085131A">
        <w:t>to the audit supplier would be required if it is the only means of not duplicating data entry</w:t>
      </w:r>
      <w:r w:rsidRPr="00D553A8">
        <w:t xml:space="preserve">. </w:t>
      </w:r>
      <w:r w:rsidR="0085131A">
        <w:t xml:space="preserve">The supplier should </w:t>
      </w:r>
      <w:r w:rsidR="000533E7" w:rsidRPr="000533E7">
        <w:t>work with other relevant national data programmes to streamline data requests and minimise duplication</w:t>
      </w:r>
      <w:r w:rsidR="000533E7">
        <w:t>.</w:t>
      </w:r>
    </w:p>
    <w:p w14:paraId="557CC9F5" w14:textId="77777777" w:rsidR="006751A0" w:rsidRDefault="006751A0" w:rsidP="002C3AC4">
      <w:pPr>
        <w:tabs>
          <w:tab w:val="left" w:pos="1701"/>
          <w:tab w:val="left" w:pos="3261"/>
        </w:tabs>
        <w:spacing w:line="276" w:lineRule="auto"/>
      </w:pPr>
    </w:p>
    <w:p w14:paraId="22887BC2" w14:textId="77777777" w:rsidR="001A5DC3" w:rsidRDefault="001A5DC3" w:rsidP="001A5DC3">
      <w:pPr>
        <w:spacing w:line="276" w:lineRule="auto"/>
      </w:pPr>
      <w:r>
        <w:t>Evaluation of the suitability of any pre-existing data source to service this contract could include:</w:t>
      </w:r>
    </w:p>
    <w:p w14:paraId="69007A45" w14:textId="3801120E" w:rsidR="001A5DC3" w:rsidRDefault="001A5DC3" w:rsidP="00640C59">
      <w:pPr>
        <w:widowControl/>
        <w:numPr>
          <w:ilvl w:val="0"/>
          <w:numId w:val="8"/>
        </w:numPr>
        <w:autoSpaceDE/>
        <w:autoSpaceDN/>
        <w:spacing w:line="276" w:lineRule="auto"/>
      </w:pPr>
      <w:r>
        <w:t>Availability of data</w:t>
      </w:r>
    </w:p>
    <w:p w14:paraId="525F9D21" w14:textId="1C1E7609" w:rsidR="001A5DC3" w:rsidRDefault="001A5DC3" w:rsidP="00640C59">
      <w:pPr>
        <w:widowControl/>
        <w:numPr>
          <w:ilvl w:val="0"/>
          <w:numId w:val="8"/>
        </w:numPr>
        <w:autoSpaceDE/>
        <w:autoSpaceDN/>
        <w:spacing w:line="276" w:lineRule="auto"/>
      </w:pPr>
      <w:r>
        <w:t>Coverage (to ensure the inclusion criteria can be met for all relevant healthcare providers)</w:t>
      </w:r>
    </w:p>
    <w:p w14:paraId="391BE2B1" w14:textId="57A2EDAB" w:rsidR="001A5DC3" w:rsidRDefault="001A5DC3" w:rsidP="00640C59">
      <w:pPr>
        <w:widowControl/>
        <w:numPr>
          <w:ilvl w:val="0"/>
          <w:numId w:val="8"/>
        </w:numPr>
        <w:autoSpaceDE/>
        <w:autoSpaceDN/>
        <w:spacing w:line="276" w:lineRule="auto"/>
      </w:pPr>
      <w:r>
        <w:t>Quality and completeness of required fields and whether these will meet the project needs</w:t>
      </w:r>
    </w:p>
    <w:p w14:paraId="7DD462C2" w14:textId="20848E04" w:rsidR="001A5DC3" w:rsidRDefault="001A5DC3" w:rsidP="00640C59">
      <w:pPr>
        <w:widowControl/>
        <w:numPr>
          <w:ilvl w:val="0"/>
          <w:numId w:val="8"/>
        </w:numPr>
        <w:autoSpaceDE/>
        <w:autoSpaceDN/>
        <w:spacing w:line="276" w:lineRule="auto"/>
      </w:pPr>
      <w:r>
        <w:t xml:space="preserve">Methods of local data validation </w:t>
      </w:r>
    </w:p>
    <w:p w14:paraId="57DDB119" w14:textId="18490194" w:rsidR="001A5DC3" w:rsidRDefault="001A5DC3" w:rsidP="00640C59">
      <w:pPr>
        <w:widowControl/>
        <w:numPr>
          <w:ilvl w:val="0"/>
          <w:numId w:val="8"/>
        </w:numPr>
        <w:autoSpaceDE/>
        <w:autoSpaceDN/>
        <w:spacing w:line="276" w:lineRule="auto"/>
      </w:pPr>
      <w:r>
        <w:t>Impact of using the data source on the timeliness and scope of data outputs</w:t>
      </w:r>
    </w:p>
    <w:p w14:paraId="6EDFF966" w14:textId="43CE413D" w:rsidR="001A5DC3" w:rsidRDefault="001A5DC3" w:rsidP="00640C59">
      <w:pPr>
        <w:widowControl/>
        <w:numPr>
          <w:ilvl w:val="0"/>
          <w:numId w:val="8"/>
        </w:numPr>
        <w:autoSpaceDE/>
        <w:autoSpaceDN/>
        <w:spacing w:line="276" w:lineRule="auto"/>
      </w:pPr>
      <w:r>
        <w:t xml:space="preserve">Local data extraction burden (e.g. for healthcare providers extracting from </w:t>
      </w:r>
      <w:r w:rsidRPr="00D553A8">
        <w:t>EPR</w:t>
      </w:r>
      <w:r>
        <w:t xml:space="preserve"> systems and submitting to the project)</w:t>
      </w:r>
    </w:p>
    <w:p w14:paraId="216FBEC9" w14:textId="040765EF" w:rsidR="001A5DC3" w:rsidRDefault="001A5DC3" w:rsidP="00640C59">
      <w:pPr>
        <w:widowControl/>
        <w:numPr>
          <w:ilvl w:val="0"/>
          <w:numId w:val="8"/>
        </w:numPr>
        <w:autoSpaceDE/>
        <w:autoSpaceDN/>
        <w:spacing w:line="276" w:lineRule="auto"/>
      </w:pPr>
      <w:r>
        <w:t>Data access costs and approval requirements</w:t>
      </w:r>
    </w:p>
    <w:p w14:paraId="535D323C" w14:textId="6C887B01" w:rsidR="00017DF0" w:rsidRDefault="00017DF0" w:rsidP="00640C59">
      <w:pPr>
        <w:widowControl/>
        <w:numPr>
          <w:ilvl w:val="0"/>
          <w:numId w:val="8"/>
        </w:numPr>
        <w:autoSpaceDE/>
        <w:autoSpaceDN/>
        <w:spacing w:line="276" w:lineRule="auto"/>
      </w:pPr>
      <w:r>
        <w:t>Timeliness of data</w:t>
      </w:r>
    </w:p>
    <w:p w14:paraId="26088818" w14:textId="24786152" w:rsidR="001A5DC3" w:rsidRDefault="000245B8" w:rsidP="001A5DC3">
      <w:pPr>
        <w:spacing w:line="276" w:lineRule="auto"/>
      </w:pPr>
      <w:r w:rsidRPr="000245B8">
        <w:lastRenderedPageBreak/>
        <w:t>Bidders may not propose substantial reliance on routine / pre-existing data sources without evidence of the project-specific suitability of the data sources. The justification will be reviewed in line with the requirements of the tender.</w:t>
      </w:r>
    </w:p>
    <w:p w14:paraId="09D73482" w14:textId="77777777" w:rsidR="000245B8" w:rsidRDefault="000245B8" w:rsidP="001A5DC3">
      <w:pPr>
        <w:spacing w:line="276" w:lineRule="auto"/>
      </w:pPr>
    </w:p>
    <w:p w14:paraId="7800C789" w14:textId="4AF1DA97" w:rsidR="0049690D" w:rsidRPr="00D553A8" w:rsidRDefault="001A5DC3" w:rsidP="003C3009">
      <w:pPr>
        <w:spacing w:line="276" w:lineRule="auto"/>
      </w:pPr>
      <w:r>
        <w:t>Data sourced from existing national data sources for the purposes of this contract will require the contract holder to initiate and lead on data access applications to the relevant data controller. HQIP will review and authorise all data sharing agreements but takes no other role in data acquisition. All data access and processing costs are the responsibility of the contract holder and should be included in the cost schedule.</w:t>
      </w:r>
    </w:p>
    <w:p w14:paraId="50F3C2C9" w14:textId="77777777" w:rsidR="0049690D" w:rsidRPr="00D553A8" w:rsidRDefault="0049690D" w:rsidP="0049690D"/>
    <w:p w14:paraId="25E2BF80" w14:textId="0547970C" w:rsidR="00980427" w:rsidRPr="00E931C2" w:rsidRDefault="005B52FA" w:rsidP="00980427">
      <w:pPr>
        <w:tabs>
          <w:tab w:val="left" w:pos="1701"/>
          <w:tab w:val="left" w:pos="3261"/>
        </w:tabs>
        <w:spacing w:line="276" w:lineRule="auto"/>
      </w:pPr>
      <w:r w:rsidRPr="00E931C2">
        <w:t xml:space="preserve">During the current contract period, the audit has supported the Professional Record Standards Body (PRSB) to develop a national epilepsy information standard, with the aim of it being published as an Information Standard in due course. Under recent changes to legislation, </w:t>
      </w:r>
      <w:hyperlink r:id="rId18" w:history="1">
        <w:r w:rsidRPr="005B52FA">
          <w:rPr>
            <w:rStyle w:val="Hyperlink"/>
            <w:rFonts w:cs="Calibri"/>
          </w:rPr>
          <w:t>compliance with Information Standards becomes a statutory duty on healthcare providers</w:t>
        </w:r>
      </w:hyperlink>
      <w:r w:rsidRPr="00E931C2">
        <w:t xml:space="preserve">, which for the audit means that it should become easier to enable secure, automated data transfer from local electronic health record systems into the audit. The initial three phases of standard development work have been completed, including stakeholder engagement and publication of a draft data model. The final phase of development to progress towards full implementation and adoption across services is hoped to be completed by the time this contract </w:t>
      </w:r>
      <w:proofErr w:type="gramStart"/>
      <w:r w:rsidRPr="00E931C2">
        <w:t>begins</w:t>
      </w:r>
      <w:proofErr w:type="gramEnd"/>
      <w:r w:rsidRPr="00E931C2">
        <w:t xml:space="preserve"> and suppliers will need to be able to take this into account for future data collection.</w:t>
      </w:r>
    </w:p>
    <w:p w14:paraId="06D9577D" w14:textId="77777777" w:rsidR="00980427" w:rsidRPr="009328AD" w:rsidRDefault="00980427" w:rsidP="00980427">
      <w:pPr>
        <w:tabs>
          <w:tab w:val="left" w:pos="1701"/>
          <w:tab w:val="left" w:pos="3261"/>
        </w:tabs>
        <w:spacing w:line="276" w:lineRule="auto"/>
      </w:pPr>
    </w:p>
    <w:p w14:paraId="2C9F379F" w14:textId="49DD66AE" w:rsidR="008E70F3" w:rsidRDefault="008E70F3" w:rsidP="009C564C">
      <w:pPr>
        <w:spacing w:line="276" w:lineRule="auto"/>
      </w:pPr>
      <w:r>
        <w:t xml:space="preserve">If, following evaluation of all existing data sources, it is determined that some bespoke data collection is necessary, it </w:t>
      </w:r>
      <w:r w:rsidR="0085131A">
        <w:t xml:space="preserve">must be </w:t>
      </w:r>
      <w:r>
        <w:t xml:space="preserve">clear that this is </w:t>
      </w:r>
      <w:r w:rsidR="0085131A">
        <w:t>essential to reporting the key metrics, and aligned to the project’s healthcare quality improvement goals. Accordingly</w:t>
      </w:r>
      <w:r>
        <w:t>,</w:t>
      </w:r>
      <w:r w:rsidR="0085131A">
        <w:t xml:space="preserve"> any such collection requires specific justification – the supplier should submit a case for any bespoke data collection to HQIP for review and authorisation at each dataset refresh. Suppliers are required to produce and publish a data burden reduction statement and, if relevant, a plan, in line with the requirements outlined in the Provider Technical Manual.</w:t>
      </w:r>
    </w:p>
    <w:p w14:paraId="7646F2EB" w14:textId="77777777" w:rsidR="008E70F3" w:rsidRPr="00D553A8" w:rsidRDefault="008E70F3" w:rsidP="009C564C"/>
    <w:p w14:paraId="43F60533" w14:textId="05ACAA10" w:rsidR="0085131A" w:rsidRPr="00703B70" w:rsidRDefault="008E70F3" w:rsidP="0085131A">
      <w:pPr>
        <w:spacing w:line="276" w:lineRule="auto"/>
        <w:rPr>
          <w:rFonts w:asciiTheme="minorHAnsi" w:hAnsiTheme="minorHAnsi"/>
        </w:rPr>
      </w:pPr>
      <w:r>
        <w:rPr>
          <w:rFonts w:asciiTheme="minorHAnsi" w:hAnsiTheme="minorHAnsi"/>
        </w:rPr>
        <w:t>For any bespoke data collection, f</w:t>
      </w:r>
      <w:r w:rsidR="0085131A" w:rsidRPr="00703B70">
        <w:rPr>
          <w:rFonts w:asciiTheme="minorHAnsi" w:hAnsiTheme="minorHAnsi"/>
        </w:rPr>
        <w:t>unctional and efficient IT provision is essential. This should:</w:t>
      </w:r>
    </w:p>
    <w:p w14:paraId="33813A89" w14:textId="5FCD6C19" w:rsidR="00AE5540" w:rsidRPr="00F049FE" w:rsidRDefault="00AE5540" w:rsidP="00640C59">
      <w:pPr>
        <w:widowControl/>
        <w:numPr>
          <w:ilvl w:val="0"/>
          <w:numId w:val="8"/>
        </w:numPr>
        <w:autoSpaceDE/>
        <w:autoSpaceDN/>
        <w:spacing w:line="276" w:lineRule="auto"/>
      </w:pPr>
      <w:r w:rsidRPr="00F049FE">
        <w:t xml:space="preserve">Not introduce a data capture mechanism that duplicates one already in use, but instead accept transfers/uploads from existing systems </w:t>
      </w:r>
    </w:p>
    <w:p w14:paraId="50325E80" w14:textId="20958D17" w:rsidR="0085131A" w:rsidRPr="00F049FE" w:rsidRDefault="0085131A" w:rsidP="00640C59">
      <w:pPr>
        <w:widowControl/>
        <w:numPr>
          <w:ilvl w:val="0"/>
          <w:numId w:val="8"/>
        </w:numPr>
        <w:autoSpaceDE/>
        <w:autoSpaceDN/>
        <w:spacing w:line="276" w:lineRule="auto"/>
      </w:pPr>
      <w:r w:rsidRPr="00F049FE">
        <w:t>Provide simple</w:t>
      </w:r>
      <w:r w:rsidR="00017DF0" w:rsidRPr="00F049FE">
        <w:t>, intuitive</w:t>
      </w:r>
      <w:r w:rsidRPr="00F049FE">
        <w:t xml:space="preserve"> data entry, potentially on a variety of devices and device types to maximise usability</w:t>
      </w:r>
    </w:p>
    <w:p w14:paraId="376040B3" w14:textId="77777777" w:rsidR="0085131A" w:rsidRPr="00F049FE" w:rsidRDefault="0085131A" w:rsidP="00640C59">
      <w:pPr>
        <w:widowControl/>
        <w:numPr>
          <w:ilvl w:val="0"/>
          <w:numId w:val="8"/>
        </w:numPr>
        <w:autoSpaceDE/>
        <w:autoSpaceDN/>
        <w:spacing w:line="276" w:lineRule="auto"/>
      </w:pPr>
      <w:r w:rsidRPr="00F049FE">
        <w:t>Support local data providers in entering complete and good quality data; automated validation should be designed into the system as far as possible</w:t>
      </w:r>
    </w:p>
    <w:p w14:paraId="21DB8166" w14:textId="77777777" w:rsidR="0085131A" w:rsidRPr="00F049FE" w:rsidRDefault="0085131A" w:rsidP="00640C59">
      <w:pPr>
        <w:widowControl/>
        <w:numPr>
          <w:ilvl w:val="0"/>
          <w:numId w:val="8"/>
        </w:numPr>
        <w:autoSpaceDE/>
        <w:autoSpaceDN/>
        <w:spacing w:line="276" w:lineRule="auto"/>
      </w:pPr>
      <w:r w:rsidRPr="00F049FE">
        <w:t>Be responsive to changes if the dataset requires revision, such as removing data items that no longer need collecting</w:t>
      </w:r>
    </w:p>
    <w:p w14:paraId="7CFFDCFA" w14:textId="77777777" w:rsidR="0085131A" w:rsidRDefault="0085131A" w:rsidP="00640C59">
      <w:pPr>
        <w:widowControl/>
        <w:numPr>
          <w:ilvl w:val="0"/>
          <w:numId w:val="8"/>
        </w:numPr>
        <w:autoSpaceDE/>
        <w:autoSpaceDN/>
        <w:spacing w:line="276" w:lineRule="auto"/>
      </w:pPr>
      <w:r w:rsidRPr="00F049FE">
        <w:t>Enable local providers to extract meaningful data for quality improvement, quality assurance, and benchmarking. This includes both the provision for download of suitable visualisations of the data, and the extraction of the underlying data in a manipulatable format</w:t>
      </w:r>
    </w:p>
    <w:p w14:paraId="5CCE7228" w14:textId="77777777" w:rsidR="00980427" w:rsidRPr="00F049FE" w:rsidRDefault="00980427" w:rsidP="00980427">
      <w:pPr>
        <w:widowControl/>
        <w:autoSpaceDE/>
        <w:autoSpaceDN/>
        <w:spacing w:line="276" w:lineRule="auto"/>
      </w:pPr>
    </w:p>
    <w:p w14:paraId="7A9FE12B" w14:textId="77777777" w:rsidR="0096264E" w:rsidRPr="0096264E" w:rsidRDefault="0096264E" w:rsidP="0096264E">
      <w:pPr>
        <w:pStyle w:val="Heading3"/>
      </w:pPr>
      <w:bookmarkStart w:id="94" w:name="_Toc213777613"/>
      <w:r>
        <w:t>Emerging technologies</w:t>
      </w:r>
      <w:bookmarkEnd w:id="94"/>
    </w:p>
    <w:p w14:paraId="3440EC05" w14:textId="267A603B" w:rsidR="005739B7" w:rsidRPr="005739B7" w:rsidRDefault="0096264E" w:rsidP="00B764B2">
      <w:pPr>
        <w:pStyle w:val="ListParagraph"/>
        <w:ind w:left="0"/>
        <w:jc w:val="left"/>
      </w:pPr>
      <w:r>
        <w:t>The contract holder is encouraged, if relevant, to review</w:t>
      </w:r>
      <w:r w:rsidR="004660DA">
        <w:t>, for example,</w:t>
      </w:r>
      <w:r>
        <w:t xml:space="preserve"> the potential use cases for emerging technologies such as Artificial Intelligence, Application Programming Interfaces (APIs)</w:t>
      </w:r>
      <w:r w:rsidR="0026433D">
        <w:t>, Natural Language Processing</w:t>
      </w:r>
      <w:r>
        <w:t xml:space="preserve"> to enhance delivery of this contract. This may be in data acquisition, reporting, or other aspects. </w:t>
      </w:r>
    </w:p>
    <w:p w14:paraId="0A002F9F" w14:textId="77777777" w:rsidR="005739B7" w:rsidRDefault="005739B7" w:rsidP="0096264E">
      <w:pPr>
        <w:pStyle w:val="ListParagraph"/>
        <w:ind w:left="0"/>
        <w:jc w:val="left"/>
      </w:pPr>
    </w:p>
    <w:p w14:paraId="745915FE" w14:textId="072C03DF" w:rsidR="0096264E" w:rsidRDefault="005739B7" w:rsidP="0096264E">
      <w:pPr>
        <w:pStyle w:val="ListParagraph"/>
        <w:ind w:left="0"/>
        <w:jc w:val="left"/>
      </w:pPr>
      <w:r w:rsidRPr="00B764B2">
        <w:lastRenderedPageBreak/>
        <w:t>HQIP encourages the use of secure, transparent, and standards-based emerging technologies where they add demonstrable value, supported by robust governance and oversight</w:t>
      </w:r>
      <w:r w:rsidR="00975FCD">
        <w:t>.</w:t>
      </w:r>
      <w:r w:rsidR="0096264E">
        <w:t xml:space="preserve"> </w:t>
      </w:r>
      <w:r w:rsidR="00353B16" w:rsidRPr="00353B16">
        <w:t>The provider has ongoing responsibility for ensuring uses are in line with latest good practice guidance, as well as any laws or regulations.</w:t>
      </w:r>
    </w:p>
    <w:p w14:paraId="6B32638C" w14:textId="77777777" w:rsidR="0096264E" w:rsidRDefault="0096264E" w:rsidP="0096264E">
      <w:pPr>
        <w:pStyle w:val="ListParagraph"/>
        <w:ind w:left="0"/>
        <w:jc w:val="left"/>
      </w:pPr>
    </w:p>
    <w:p w14:paraId="74CC4011" w14:textId="77777777" w:rsidR="00F53B27" w:rsidRDefault="00F53B27" w:rsidP="00F53B27">
      <w:pPr>
        <w:pStyle w:val="ListParagraph"/>
        <w:ind w:left="0"/>
        <w:jc w:val="left"/>
      </w:pPr>
      <w:r>
        <w:t>Any future adoption would be expected to be within budget (see also section on ‘Potential future aspirational intent’).</w:t>
      </w:r>
    </w:p>
    <w:p w14:paraId="5AC2BCB7" w14:textId="77777777" w:rsidR="00F53B27" w:rsidRDefault="00F53B27" w:rsidP="00F53B27">
      <w:pPr>
        <w:pStyle w:val="ListParagraph"/>
        <w:ind w:left="0"/>
        <w:jc w:val="left"/>
      </w:pPr>
    </w:p>
    <w:p w14:paraId="7BCEB216" w14:textId="77777777" w:rsidR="00F53B27" w:rsidRPr="005739B7" w:rsidRDefault="00F53B27" w:rsidP="00F53B27">
      <w:r w:rsidRPr="00514D04">
        <w:t>F</w:t>
      </w:r>
      <w:r w:rsidRPr="005739B7">
        <w:t xml:space="preserve">or any significant proposed new uses of emerging technologies for delivery </w:t>
      </w:r>
      <w:r w:rsidRPr="00514D04">
        <w:t>of this</w:t>
      </w:r>
      <w:r w:rsidRPr="005739B7">
        <w:t xml:space="preserve"> contract, it is expected that HQIP is included in the process of consideration</w:t>
      </w:r>
      <w:r>
        <w:t xml:space="preserve"> and decision-making</w:t>
      </w:r>
      <w:r w:rsidRPr="005739B7">
        <w:t xml:space="preserve"> from the outset.</w:t>
      </w:r>
    </w:p>
    <w:p w14:paraId="43398A01" w14:textId="77777777" w:rsidR="0096264E" w:rsidRDefault="0096264E" w:rsidP="00B764B2">
      <w:pPr>
        <w:pStyle w:val="ListParagraph"/>
        <w:ind w:left="0"/>
        <w:jc w:val="left"/>
      </w:pPr>
    </w:p>
    <w:p w14:paraId="2A6100F7" w14:textId="77777777" w:rsidR="0085131A" w:rsidRPr="00D553A8" w:rsidRDefault="0085131A" w:rsidP="0085131A">
      <w:pPr>
        <w:pStyle w:val="Heading2"/>
        <w:spacing w:line="276" w:lineRule="auto"/>
      </w:pPr>
      <w:bookmarkStart w:id="95" w:name="_Toc213777614"/>
      <w:r w:rsidRPr="00D553A8">
        <w:t>Data quality</w:t>
      </w:r>
      <w:bookmarkEnd w:id="95"/>
      <w:r w:rsidRPr="00D553A8">
        <w:t xml:space="preserve"> </w:t>
      </w:r>
    </w:p>
    <w:p w14:paraId="494F3E69" w14:textId="3BE4119B" w:rsidR="0085131A" w:rsidRDefault="0085131A" w:rsidP="0049690D">
      <w:pPr>
        <w:spacing w:line="276" w:lineRule="auto"/>
      </w:pPr>
      <w:r w:rsidRPr="00D553A8">
        <w:t xml:space="preserve">The supplier must ensure the highest standards of data quality and completeness, including mechanisms to check inter-rater reliability and identify missing data. Data completeness and quality must be actively monitored and reported. The levels of completeness required to support the subsequent analyses should be identified at the outset and all efforts made to support participants to achieve these. </w:t>
      </w:r>
    </w:p>
    <w:p w14:paraId="3ABA109F" w14:textId="77777777" w:rsidR="00D44D58" w:rsidRDefault="00D44D58" w:rsidP="0049690D">
      <w:pPr>
        <w:spacing w:line="276" w:lineRule="auto"/>
      </w:pPr>
    </w:p>
    <w:p w14:paraId="181FBF7A" w14:textId="77777777" w:rsidR="00D5357E" w:rsidRPr="00D553A8" w:rsidRDefault="00D5357E" w:rsidP="00311E27">
      <w:pPr>
        <w:pStyle w:val="Heading2"/>
        <w:spacing w:line="276" w:lineRule="auto"/>
      </w:pPr>
      <w:bookmarkStart w:id="96" w:name="_Toc444609513"/>
      <w:bookmarkStart w:id="97" w:name="_Toc459385878"/>
      <w:bookmarkStart w:id="98" w:name="_Toc72250677"/>
      <w:bookmarkStart w:id="99" w:name="_Toc77029478"/>
      <w:bookmarkStart w:id="100" w:name="_Toc77079475"/>
      <w:bookmarkStart w:id="101" w:name="_Toc78192713"/>
      <w:bookmarkStart w:id="102" w:name="_Toc213777615"/>
      <w:r w:rsidRPr="00D553A8">
        <w:t>Data protection and security</w:t>
      </w:r>
      <w:bookmarkEnd w:id="96"/>
      <w:bookmarkEnd w:id="97"/>
      <w:bookmarkEnd w:id="98"/>
      <w:bookmarkEnd w:id="99"/>
      <w:bookmarkEnd w:id="100"/>
      <w:bookmarkEnd w:id="101"/>
      <w:bookmarkEnd w:id="102"/>
    </w:p>
    <w:p w14:paraId="32B4FA9B" w14:textId="0BDED1EC" w:rsidR="00077B19" w:rsidRPr="00D553A8" w:rsidRDefault="001A0949" w:rsidP="001A0949">
      <w:pPr>
        <w:spacing w:line="276" w:lineRule="auto"/>
      </w:pPr>
      <w:r w:rsidRPr="00D553A8">
        <w:t>Comprehensive measures must be developed and implemented to mitigate the risk of a data breach. The supplier will be required to undertake and keep up to date a project specific Data Protection Impact Assessment (DPIA) on behalf of HQIP</w:t>
      </w:r>
      <w:r w:rsidR="006430DF">
        <w:t xml:space="preserve"> </w:t>
      </w:r>
      <w:bookmarkStart w:id="103" w:name="_Hlk189153380"/>
      <w:r w:rsidR="006430DF">
        <w:t xml:space="preserve">and to </w:t>
      </w:r>
      <w:r w:rsidR="006430DF" w:rsidRPr="006430DF">
        <w:t>submit an annual IG checklist review</w:t>
      </w:r>
      <w:bookmarkEnd w:id="103"/>
      <w:r w:rsidRPr="00D553A8">
        <w:t>.</w:t>
      </w:r>
    </w:p>
    <w:p w14:paraId="64668F56" w14:textId="77777777" w:rsidR="00077B19" w:rsidRPr="00D553A8" w:rsidRDefault="00077B19" w:rsidP="001A0949">
      <w:pPr>
        <w:spacing w:line="276" w:lineRule="auto"/>
      </w:pPr>
    </w:p>
    <w:p w14:paraId="15015E80" w14:textId="4C81A1B2" w:rsidR="001A0949" w:rsidRPr="00D553A8" w:rsidRDefault="001A0949" w:rsidP="001A0949">
      <w:pPr>
        <w:spacing w:line="276" w:lineRule="auto"/>
      </w:pPr>
      <w:r w:rsidRPr="00D553A8">
        <w:t>Suppliers must be able to demonstrate a full understanding of and compliance with the Data Protection Act 2018, the UK General Data Protection Regulation (UK GDPR), the Common law duty of confidentiality (and any other relevant data protection legislation) and its relevance to project processes</w:t>
      </w:r>
      <w:r w:rsidR="00777003" w:rsidRPr="00D553A8">
        <w:t>.</w:t>
      </w:r>
      <w:r w:rsidRPr="00D553A8">
        <w:t xml:space="preserve"> The confidentiality, integrity, availability, and resilience of processing systems and services must be ensured</w:t>
      </w:r>
      <w:r w:rsidR="00613041" w:rsidRPr="00D553A8">
        <w:t>. S</w:t>
      </w:r>
      <w:r w:rsidRPr="00D553A8">
        <w:t>uppliers are also expected to carefully review the data security and data processing requirements reflected in HQIP’s standard contractual terms and conditions and demonstrate in their tender how these will be met.</w:t>
      </w:r>
    </w:p>
    <w:p w14:paraId="70930A4C" w14:textId="77777777" w:rsidR="001A0949" w:rsidRPr="00D553A8" w:rsidRDefault="001A0949" w:rsidP="001A0949">
      <w:pPr>
        <w:spacing w:line="276" w:lineRule="auto"/>
      </w:pPr>
    </w:p>
    <w:p w14:paraId="53FEEF7B" w14:textId="785387E2" w:rsidR="001A0949" w:rsidRPr="00D553A8" w:rsidRDefault="00C77693" w:rsidP="001A0949">
      <w:pPr>
        <w:spacing w:line="276" w:lineRule="auto"/>
      </w:pPr>
      <w:r w:rsidRPr="00D553A8">
        <w:t>A</w:t>
      </w:r>
      <w:r w:rsidR="001A0949" w:rsidRPr="00D553A8">
        <w:t>ll data processors delivering projects on behalf of HQIP are required to demonstrate appropriate security arrangements by maintaining accreditation against the Data Security and Protection Toolkit</w:t>
      </w:r>
      <w:r w:rsidR="001C7F5E">
        <w:t xml:space="preserve"> (DSPT)</w:t>
      </w:r>
      <w:r w:rsidR="001A0949" w:rsidRPr="00D553A8">
        <w:t xml:space="preserve">, achieving a minimum ‘standards met’ against all requirements, (or demonstrate compliance equivalence). </w:t>
      </w:r>
      <w:r w:rsidR="004568AC" w:rsidRPr="00D553A8">
        <w:t>S</w:t>
      </w:r>
      <w:r w:rsidR="001A0949" w:rsidRPr="00D553A8">
        <w:t>uppliers will be required to comply with data subject rights and to manage data subject requests (such as, but not limited to, access, rectification, erasure and portability) on behalf of HQIP and in accordance with HQIP policy and processes.</w:t>
      </w:r>
    </w:p>
    <w:p w14:paraId="763634D8" w14:textId="77777777" w:rsidR="001A0949" w:rsidRPr="00D553A8" w:rsidRDefault="001A0949" w:rsidP="001A0949">
      <w:pPr>
        <w:spacing w:line="276" w:lineRule="auto"/>
      </w:pPr>
    </w:p>
    <w:p w14:paraId="189649A4" w14:textId="77777777" w:rsidR="001A0949" w:rsidRPr="00D553A8" w:rsidRDefault="001A0949" w:rsidP="001A0949">
      <w:pPr>
        <w:spacing w:line="276" w:lineRule="auto"/>
      </w:pPr>
      <w:r w:rsidRPr="00D553A8">
        <w:t xml:space="preserve">Suppliers using the services of another organisation (i.e. a sub-processor) to assist with the processing of project specific personal data on their behalf are required to have a written agreement in place with such sub-processor/s. The terms of the agreement that relate to Article 28(3) of the UK GDPR must offer an equivalent level of protection for the personal data as those in HQIP’s standard contractual terms and conditions. Suppliers remain liable to HQIP for the compliance of any sub-processors they engage. </w:t>
      </w:r>
    </w:p>
    <w:p w14:paraId="5893E621" w14:textId="77777777" w:rsidR="00D5357E" w:rsidRPr="00D553A8" w:rsidRDefault="00D5357E" w:rsidP="00311E27">
      <w:pPr>
        <w:tabs>
          <w:tab w:val="left" w:pos="1701"/>
          <w:tab w:val="left" w:pos="3261"/>
        </w:tabs>
        <w:spacing w:line="276" w:lineRule="auto"/>
      </w:pPr>
    </w:p>
    <w:p w14:paraId="3CF059C1" w14:textId="77777777" w:rsidR="00D5357E" w:rsidRPr="00D553A8" w:rsidRDefault="00D5357E" w:rsidP="00311E27">
      <w:pPr>
        <w:pStyle w:val="Heading2"/>
        <w:spacing w:line="276" w:lineRule="auto"/>
      </w:pPr>
      <w:bookmarkStart w:id="104" w:name="_Toc314476019"/>
      <w:bookmarkStart w:id="105" w:name="_Toc444609514"/>
      <w:bookmarkStart w:id="106" w:name="_Toc459385879"/>
      <w:bookmarkStart w:id="107" w:name="_Toc72250678"/>
      <w:bookmarkStart w:id="108" w:name="_Toc77029479"/>
      <w:bookmarkStart w:id="109" w:name="_Toc77079476"/>
      <w:bookmarkStart w:id="110" w:name="_Toc78192714"/>
      <w:bookmarkStart w:id="111" w:name="_Toc213777616"/>
      <w:r w:rsidRPr="00D553A8">
        <w:t>Confidentiality and consent</w:t>
      </w:r>
      <w:bookmarkEnd w:id="104"/>
      <w:bookmarkEnd w:id="105"/>
      <w:bookmarkEnd w:id="106"/>
      <w:bookmarkEnd w:id="107"/>
      <w:bookmarkEnd w:id="108"/>
      <w:bookmarkEnd w:id="109"/>
      <w:bookmarkEnd w:id="110"/>
      <w:bookmarkEnd w:id="111"/>
    </w:p>
    <w:p w14:paraId="6BB00BD0" w14:textId="77777777" w:rsidR="00660549" w:rsidRPr="00D553A8" w:rsidRDefault="00D5357E" w:rsidP="00311E27">
      <w:pPr>
        <w:spacing w:line="276" w:lineRule="auto"/>
        <w:rPr>
          <w:rFonts w:asciiTheme="minorHAnsi" w:hAnsiTheme="minorHAnsi"/>
        </w:rPr>
      </w:pPr>
      <w:r w:rsidRPr="00D553A8">
        <w:rPr>
          <w:rFonts w:asciiTheme="minorHAnsi" w:hAnsiTheme="minorHAnsi"/>
        </w:rPr>
        <w:t xml:space="preserve">A comprehensive information governance policy must be developed for this project. </w:t>
      </w:r>
      <w:r w:rsidR="003E1859" w:rsidRPr="00D553A8">
        <w:rPr>
          <w:rFonts w:asciiTheme="minorHAnsi" w:hAnsiTheme="minorHAnsi"/>
        </w:rPr>
        <w:t>Supplier</w:t>
      </w:r>
      <w:r w:rsidRPr="00D553A8">
        <w:rPr>
          <w:rFonts w:asciiTheme="minorHAnsi" w:hAnsiTheme="minorHAnsi"/>
        </w:rPr>
        <w:t xml:space="preserve">s must state </w:t>
      </w:r>
      <w:r w:rsidRPr="00D553A8">
        <w:rPr>
          <w:rFonts w:asciiTheme="minorHAnsi" w:hAnsiTheme="minorHAnsi"/>
        </w:rPr>
        <w:lastRenderedPageBreak/>
        <w:t>whether any patient-identifiers will be extracted for central processing or linkage purposes and the proposed mechanism for gaining the required permissions. Where any processing is to be based on consent this must meet standards of active, informed consent, and that such consents are recorded and auditable</w:t>
      </w:r>
      <w:r w:rsidR="007B497B" w:rsidRPr="00D553A8">
        <w:rPr>
          <w:rFonts w:asciiTheme="minorHAnsi" w:hAnsiTheme="minorHAnsi"/>
        </w:rPr>
        <w:t xml:space="preserve">. </w:t>
      </w:r>
    </w:p>
    <w:p w14:paraId="5BC22E6F" w14:textId="77777777" w:rsidR="00660549" w:rsidRPr="00D553A8" w:rsidRDefault="00660549" w:rsidP="00311E27">
      <w:pPr>
        <w:spacing w:line="276" w:lineRule="auto"/>
        <w:rPr>
          <w:rFonts w:asciiTheme="minorHAnsi" w:hAnsiTheme="minorHAnsi"/>
        </w:rPr>
      </w:pPr>
    </w:p>
    <w:p w14:paraId="437C4C8A" w14:textId="77777777" w:rsidR="00660549" w:rsidRPr="00D553A8" w:rsidRDefault="00660549" w:rsidP="00660549">
      <w:pPr>
        <w:spacing w:line="276" w:lineRule="auto"/>
      </w:pPr>
      <w:r w:rsidRPr="00D553A8">
        <w:t xml:space="preserve">If Section 251 approval is required to temporarily lift the common law duty of confidentiality, bidders must factor into their plans the requirement by the Confidentiality Advisory Group (CAG) to undertake public involvement activity before application. Information on CAG’s requirement is available from the Health Research Authority at: </w:t>
      </w:r>
      <w:hyperlink r:id="rId19" w:history="1">
        <w:r w:rsidRPr="00D553A8">
          <w:rPr>
            <w:rStyle w:val="Hyperlink"/>
          </w:rPr>
          <w:t>https://content.govdelivery.com/accounts/UKNHSHRA/bulletins/391a12c</w:t>
        </w:r>
      </w:hyperlink>
      <w:r w:rsidRPr="00D553A8">
        <w:t>.</w:t>
      </w:r>
    </w:p>
    <w:p w14:paraId="12911969" w14:textId="77777777" w:rsidR="00660549" w:rsidRDefault="00660549" w:rsidP="00311E27">
      <w:pPr>
        <w:spacing w:line="276" w:lineRule="auto"/>
        <w:rPr>
          <w:rFonts w:asciiTheme="minorHAnsi" w:hAnsiTheme="minorHAnsi"/>
        </w:rPr>
      </w:pPr>
    </w:p>
    <w:p w14:paraId="75072068" w14:textId="3B9C9EB7" w:rsidR="00B535E0" w:rsidRPr="00CA12E1" w:rsidRDefault="00B535E0" w:rsidP="00B535E0">
      <w:pPr>
        <w:pStyle w:val="Heading2"/>
        <w:spacing w:line="276" w:lineRule="auto"/>
      </w:pPr>
      <w:bookmarkStart w:id="112" w:name="_Toc213777617"/>
      <w:r>
        <w:t>Data linkage and data flows</w:t>
      </w:r>
      <w:bookmarkEnd w:id="112"/>
    </w:p>
    <w:p w14:paraId="2F0ADBDD" w14:textId="586DA506" w:rsidR="005711F5" w:rsidRDefault="00D5357E" w:rsidP="00311E27">
      <w:pPr>
        <w:spacing w:line="276" w:lineRule="auto"/>
        <w:rPr>
          <w:rFonts w:asciiTheme="minorHAnsi" w:hAnsiTheme="minorHAnsi"/>
        </w:rPr>
      </w:pPr>
      <w:r w:rsidRPr="00D553A8">
        <w:rPr>
          <w:rFonts w:asciiTheme="minorHAnsi" w:hAnsiTheme="minorHAnsi"/>
        </w:rPr>
        <w:t>A data flow map is required, illustrating all planned data flows anticipated for the delivery of the project. It must include the source and destination of each dataset, the data controller, the level of patient anonymity of the dataset (</w:t>
      </w:r>
      <w:r w:rsidR="003A6270" w:rsidRPr="00D553A8">
        <w:rPr>
          <w:rFonts w:asciiTheme="minorHAnsi" w:hAnsiTheme="minorHAnsi"/>
        </w:rPr>
        <w:t>personally identifiable</w:t>
      </w:r>
      <w:r w:rsidRPr="00D553A8">
        <w:rPr>
          <w:rFonts w:asciiTheme="minorHAnsi" w:hAnsiTheme="minorHAnsi"/>
        </w:rPr>
        <w:t>/</w:t>
      </w:r>
      <w:r w:rsidR="003A6270" w:rsidRPr="00D553A8">
        <w:rPr>
          <w:rFonts w:asciiTheme="minorHAnsi" w:hAnsiTheme="minorHAnsi"/>
        </w:rPr>
        <w:t>de-identified</w:t>
      </w:r>
      <w:r w:rsidRPr="00D553A8">
        <w:rPr>
          <w:rFonts w:asciiTheme="minorHAnsi" w:hAnsiTheme="minorHAnsi"/>
        </w:rPr>
        <w:t>/</w:t>
      </w:r>
      <w:r w:rsidR="003A6270" w:rsidRPr="00D553A8">
        <w:rPr>
          <w:rFonts w:asciiTheme="minorHAnsi" w:hAnsiTheme="minorHAnsi"/>
        </w:rPr>
        <w:t>anonymous</w:t>
      </w:r>
      <w:r w:rsidRPr="00D553A8">
        <w:rPr>
          <w:rFonts w:asciiTheme="minorHAnsi" w:hAnsiTheme="minorHAnsi"/>
        </w:rPr>
        <w:t xml:space="preserve">) and the legal basis for each data processing activity. </w:t>
      </w:r>
      <w:bookmarkStart w:id="113" w:name="_Hlk189153585"/>
      <w:r w:rsidR="00132357">
        <w:rPr>
          <w:rFonts w:asciiTheme="minorHAnsi" w:hAnsiTheme="minorHAnsi"/>
        </w:rPr>
        <w:t>It will be requested at tender and</w:t>
      </w:r>
      <w:r w:rsidRPr="00D553A8">
        <w:rPr>
          <w:rFonts w:asciiTheme="minorHAnsi" w:hAnsiTheme="minorHAnsi"/>
        </w:rPr>
        <w:t xml:space="preserve"> must be updated and shared with HQIP throughout the contract.</w:t>
      </w:r>
      <w:r w:rsidR="00132357">
        <w:rPr>
          <w:rFonts w:asciiTheme="minorHAnsi" w:hAnsiTheme="minorHAnsi"/>
        </w:rPr>
        <w:t xml:space="preserve"> </w:t>
      </w:r>
      <w:bookmarkEnd w:id="113"/>
      <w:r w:rsidR="00132357">
        <w:rPr>
          <w:rFonts w:asciiTheme="minorHAnsi" w:hAnsiTheme="minorHAnsi"/>
        </w:rPr>
        <w:t>The supplier will lead on and manage all necessary data access requests on behalf of HQIP</w:t>
      </w:r>
      <w:r w:rsidR="00132357" w:rsidRPr="00AB1840">
        <w:rPr>
          <w:rFonts w:asciiTheme="minorHAnsi" w:hAnsiTheme="minorHAnsi"/>
        </w:rPr>
        <w:t xml:space="preserve">. </w:t>
      </w:r>
      <w:r w:rsidR="00132357" w:rsidRPr="00222663">
        <w:rPr>
          <w:rFonts w:asciiTheme="minorHAnsi" w:hAnsiTheme="minorHAnsi"/>
        </w:rPr>
        <w:t xml:space="preserve">The current data flow diagram is published </w:t>
      </w:r>
      <w:r w:rsidR="009328AD">
        <w:rPr>
          <w:rFonts w:asciiTheme="minorHAnsi" w:hAnsiTheme="minorHAnsi"/>
        </w:rPr>
        <w:t xml:space="preserve">at </w:t>
      </w:r>
      <w:hyperlink r:id="rId20" w:history="1">
        <w:r w:rsidR="00A17218" w:rsidRPr="00684F18">
          <w:rPr>
            <w:rStyle w:val="Hyperlink"/>
            <w:rFonts w:asciiTheme="minorHAnsi" w:hAnsiTheme="minorHAnsi" w:cs="Calibri"/>
          </w:rPr>
          <w:t>http://www.rcpch.ac.uk/sites/default/files/2025-04/E12%20External%20Data%20Flow%20Diagram_April2025_0.pdf</w:t>
        </w:r>
      </w:hyperlink>
      <w:r w:rsidR="00A17218">
        <w:rPr>
          <w:rFonts w:asciiTheme="minorHAnsi" w:hAnsiTheme="minorHAnsi"/>
        </w:rPr>
        <w:t>.</w:t>
      </w:r>
    </w:p>
    <w:p w14:paraId="18504AE0" w14:textId="776D1A7F" w:rsidR="00D5357E" w:rsidRPr="00D553A8" w:rsidRDefault="00647CBB" w:rsidP="006B1F92">
      <w:pPr>
        <w:pStyle w:val="Heading1"/>
      </w:pPr>
      <w:bookmarkStart w:id="114" w:name="_Toc314476020"/>
      <w:bookmarkStart w:id="115" w:name="_Toc444609515"/>
      <w:bookmarkStart w:id="116" w:name="_Toc459385880"/>
      <w:bookmarkStart w:id="117" w:name="_Toc497211006"/>
      <w:bookmarkStart w:id="118" w:name="_Toc72250679"/>
      <w:bookmarkStart w:id="119" w:name="_Toc77029480"/>
      <w:bookmarkStart w:id="120" w:name="_Toc77079477"/>
      <w:bookmarkStart w:id="121" w:name="_Toc78192715"/>
      <w:bookmarkStart w:id="122" w:name="_Toc213777618"/>
      <w:r w:rsidRPr="00D553A8">
        <w:t>Communications</w:t>
      </w:r>
      <w:bookmarkEnd w:id="114"/>
      <w:bookmarkEnd w:id="115"/>
      <w:bookmarkEnd w:id="116"/>
      <w:bookmarkEnd w:id="117"/>
      <w:bookmarkEnd w:id="118"/>
      <w:bookmarkEnd w:id="119"/>
      <w:bookmarkEnd w:id="120"/>
      <w:bookmarkEnd w:id="121"/>
      <w:bookmarkEnd w:id="122"/>
    </w:p>
    <w:p w14:paraId="5B553CF4" w14:textId="77777777" w:rsidR="00EF71C3" w:rsidRPr="00D553A8" w:rsidRDefault="00EF71C3" w:rsidP="00311E27">
      <w:pPr>
        <w:pStyle w:val="Heading2"/>
        <w:spacing w:line="276" w:lineRule="auto"/>
      </w:pPr>
      <w:bookmarkStart w:id="123" w:name="_Toc213777619"/>
      <w:bookmarkStart w:id="124" w:name="_Toc72250680"/>
      <w:bookmarkStart w:id="125" w:name="_Toc77029481"/>
      <w:bookmarkStart w:id="126" w:name="_Toc77079478"/>
      <w:bookmarkStart w:id="127" w:name="_Toc78192716"/>
      <w:bookmarkStart w:id="128" w:name="_Toc444609516"/>
      <w:bookmarkStart w:id="129" w:name="_Toc459385881"/>
      <w:bookmarkStart w:id="130" w:name="_Toc497211007"/>
      <w:r w:rsidRPr="00D553A8">
        <w:t>Audit information webpages</w:t>
      </w:r>
      <w:bookmarkEnd w:id="123"/>
    </w:p>
    <w:p w14:paraId="701044B7" w14:textId="3EDDE819" w:rsidR="00EF71C3" w:rsidRPr="00D553A8" w:rsidRDefault="00EF71C3" w:rsidP="00311E27">
      <w:pPr>
        <w:spacing w:line="276" w:lineRule="auto"/>
      </w:pPr>
      <w:r w:rsidRPr="00D553A8">
        <w:t>Comprehensive information about the project including the commissioning body, project aims and objectives, design, geographical cover, timelines, project tools</w:t>
      </w:r>
      <w:r w:rsidR="003E092B" w:rsidRPr="00D553A8">
        <w:t xml:space="preserve">, and </w:t>
      </w:r>
      <w:r w:rsidR="00A428A2">
        <w:t>technical dataset specification</w:t>
      </w:r>
      <w:r w:rsidR="00A428A2" w:rsidRPr="00D553A8">
        <w:t xml:space="preserve"> </w:t>
      </w:r>
      <w:r w:rsidRPr="00D553A8">
        <w:t xml:space="preserve">must be </w:t>
      </w:r>
      <w:r w:rsidR="00C57A51" w:rsidRPr="00D553A8">
        <w:t>publicly</w:t>
      </w:r>
      <w:r w:rsidRPr="00D553A8">
        <w:t xml:space="preserve"> accessible via a dedicated section of the supplier’s website, with links wherever possible</w:t>
      </w:r>
      <w:r w:rsidR="003E092B" w:rsidRPr="00D553A8">
        <w:t xml:space="preserve"> to and</w:t>
      </w:r>
      <w:r w:rsidRPr="00D553A8">
        <w:t xml:space="preserve"> from relevant stakeholders’ websites.</w:t>
      </w:r>
    </w:p>
    <w:p w14:paraId="3B2905C9" w14:textId="77777777" w:rsidR="00AE661B" w:rsidRPr="00D553A8" w:rsidRDefault="00AE661B" w:rsidP="00311E27">
      <w:pPr>
        <w:spacing w:line="276" w:lineRule="auto"/>
      </w:pPr>
    </w:p>
    <w:p w14:paraId="2FCFB9AD" w14:textId="77777777" w:rsidR="00D5357E" w:rsidRPr="00D553A8" w:rsidRDefault="00D5357E" w:rsidP="00311E27">
      <w:pPr>
        <w:pStyle w:val="Heading2"/>
        <w:spacing w:line="276" w:lineRule="auto"/>
      </w:pPr>
      <w:bookmarkStart w:id="131" w:name="_Toc213777620"/>
      <w:r w:rsidRPr="00D553A8">
        <w:t>Accessible digital content</w:t>
      </w:r>
      <w:bookmarkEnd w:id="124"/>
      <w:bookmarkEnd w:id="125"/>
      <w:bookmarkEnd w:id="126"/>
      <w:bookmarkEnd w:id="127"/>
      <w:bookmarkEnd w:id="131"/>
    </w:p>
    <w:p w14:paraId="4F12EA87" w14:textId="3480706A" w:rsidR="00C21ABE" w:rsidRPr="00D553A8" w:rsidRDefault="00D5357E" w:rsidP="00311E27">
      <w:pPr>
        <w:shd w:val="clear" w:color="auto" w:fill="FFFFFF"/>
        <w:spacing w:line="276" w:lineRule="auto"/>
        <w:rPr>
          <w:rFonts w:asciiTheme="minorHAnsi" w:hAnsiTheme="minorHAnsi" w:cs="Arial"/>
          <w:color w:val="0B0C0C"/>
        </w:rPr>
      </w:pPr>
      <w:r w:rsidRPr="00D553A8">
        <w:rPr>
          <w:rFonts w:asciiTheme="minorHAnsi" w:hAnsiTheme="minorHAnsi" w:cs="Arial"/>
          <w:color w:val="0B0C0C"/>
          <w:shd w:val="clear" w:color="auto" w:fill="FFFFFF"/>
        </w:rPr>
        <w:t>It is expected that</w:t>
      </w:r>
      <w:r w:rsidR="003E092B" w:rsidRPr="00D553A8">
        <w:rPr>
          <w:rFonts w:asciiTheme="minorHAnsi" w:hAnsiTheme="minorHAnsi" w:cs="Arial"/>
          <w:color w:val="0B0C0C"/>
          <w:shd w:val="clear" w:color="auto" w:fill="FFFFFF"/>
        </w:rPr>
        <w:t xml:space="preserve"> the</w:t>
      </w:r>
      <w:r w:rsidRPr="00D553A8">
        <w:rPr>
          <w:rFonts w:asciiTheme="minorHAnsi" w:hAnsiTheme="minorHAnsi" w:cs="Arial"/>
          <w:color w:val="0B0C0C"/>
          <w:shd w:val="clear" w:color="auto" w:fill="FFFFFF"/>
        </w:rPr>
        <w:t xml:space="preserve"> </w:t>
      </w:r>
      <w:r w:rsidR="005B3700" w:rsidRPr="00D553A8">
        <w:rPr>
          <w:rFonts w:asciiTheme="minorHAnsi" w:hAnsiTheme="minorHAnsi" w:cs="Arial"/>
          <w:color w:val="0B0C0C"/>
          <w:shd w:val="clear" w:color="auto" w:fill="FFFFFF"/>
        </w:rPr>
        <w:t>supplier</w:t>
      </w:r>
      <w:r w:rsidR="003E092B" w:rsidRPr="00D553A8">
        <w:rPr>
          <w:rFonts w:asciiTheme="minorHAnsi" w:hAnsiTheme="minorHAnsi" w:cs="Arial"/>
          <w:color w:val="0B0C0C"/>
          <w:shd w:val="clear" w:color="auto" w:fill="FFFFFF"/>
        </w:rPr>
        <w:t xml:space="preserve"> will</w:t>
      </w:r>
      <w:r w:rsidRPr="00D553A8">
        <w:rPr>
          <w:rFonts w:asciiTheme="minorHAnsi" w:hAnsiTheme="minorHAnsi" w:cs="Arial"/>
          <w:color w:val="0B0C0C"/>
          <w:shd w:val="clear" w:color="auto" w:fill="FFFFFF"/>
        </w:rPr>
        <w:t xml:space="preserve"> mak</w:t>
      </w:r>
      <w:r w:rsidR="003E092B" w:rsidRPr="00D553A8">
        <w:rPr>
          <w:rFonts w:asciiTheme="minorHAnsi" w:hAnsiTheme="minorHAnsi" w:cs="Arial"/>
          <w:color w:val="0B0C0C"/>
          <w:shd w:val="clear" w:color="auto" w:fill="FFFFFF"/>
        </w:rPr>
        <w:t>e</w:t>
      </w:r>
      <w:r w:rsidRPr="00D553A8">
        <w:rPr>
          <w:rFonts w:asciiTheme="minorHAnsi" w:hAnsiTheme="minorHAnsi" w:cs="Arial"/>
          <w:color w:val="0B0C0C"/>
          <w:shd w:val="clear" w:color="auto" w:fill="FFFFFF"/>
        </w:rPr>
        <w:t xml:space="preserve"> their digital content accessible. This means making content and design clear and simple enough so most people can use it without adaptation, while supporting others as needed. </w:t>
      </w:r>
      <w:r w:rsidRPr="00D553A8">
        <w:rPr>
          <w:rFonts w:asciiTheme="minorHAnsi" w:hAnsiTheme="minorHAnsi" w:cs="Arial"/>
          <w:color w:val="0B0C0C"/>
        </w:rPr>
        <w:t xml:space="preserve">We expect </w:t>
      </w:r>
      <w:r w:rsidR="005B3700" w:rsidRPr="00D553A8">
        <w:rPr>
          <w:rFonts w:asciiTheme="minorHAnsi" w:hAnsiTheme="minorHAnsi" w:cs="Arial"/>
          <w:color w:val="0B0C0C"/>
        </w:rPr>
        <w:t>supplier</w:t>
      </w:r>
      <w:r w:rsidRPr="00D553A8">
        <w:rPr>
          <w:rFonts w:asciiTheme="minorHAnsi" w:hAnsiTheme="minorHAnsi" w:cs="Arial"/>
          <w:color w:val="0B0C0C"/>
        </w:rPr>
        <w:t xml:space="preserve">s to comply with UK government requirements for public sector organisations. </w:t>
      </w:r>
      <w:r w:rsidR="00C21ABE" w:rsidRPr="00D553A8">
        <w:rPr>
          <w:rFonts w:asciiTheme="minorHAnsi" w:hAnsiTheme="minorHAnsi" w:cs="Arial"/>
          <w:color w:val="0B0C0C"/>
        </w:rPr>
        <w:t xml:space="preserve">More information is available online at: </w:t>
      </w:r>
      <w:hyperlink r:id="rId21" w:history="1">
        <w:r w:rsidR="00C21ABE" w:rsidRPr="00D553A8">
          <w:rPr>
            <w:rStyle w:val="Hyperlink"/>
            <w:rFonts w:asciiTheme="minorHAnsi" w:hAnsiTheme="minorHAnsi" w:cs="Arial"/>
          </w:rPr>
          <w:t>www.gov.uk/guidance/accessibility-requirements-for-public-sector-websites-and-apps</w:t>
        </w:r>
      </w:hyperlink>
      <w:r w:rsidR="00C21ABE" w:rsidRPr="00D553A8">
        <w:rPr>
          <w:rFonts w:asciiTheme="minorHAnsi" w:hAnsiTheme="minorHAnsi" w:cs="Arial"/>
          <w:color w:val="0B0C0C"/>
        </w:rPr>
        <w:t>.</w:t>
      </w:r>
    </w:p>
    <w:p w14:paraId="23BC1E3A" w14:textId="77777777" w:rsidR="00C21ABE" w:rsidRPr="00D553A8" w:rsidRDefault="00C21ABE" w:rsidP="00311E27">
      <w:pPr>
        <w:shd w:val="clear" w:color="auto" w:fill="FFFFFF"/>
        <w:spacing w:line="276" w:lineRule="auto"/>
        <w:rPr>
          <w:rFonts w:asciiTheme="minorHAnsi" w:hAnsiTheme="minorHAnsi" w:cs="Arial"/>
          <w:color w:val="0B0C0C"/>
        </w:rPr>
      </w:pPr>
    </w:p>
    <w:p w14:paraId="02E0611B" w14:textId="14FD5571" w:rsidR="00D5357E" w:rsidRPr="00D553A8" w:rsidRDefault="00070865" w:rsidP="00311E27">
      <w:pPr>
        <w:shd w:val="clear" w:color="auto" w:fill="FFFFFF"/>
        <w:spacing w:line="276" w:lineRule="auto"/>
        <w:rPr>
          <w:rFonts w:asciiTheme="minorHAnsi" w:hAnsiTheme="minorHAnsi" w:cs="Arial"/>
          <w:color w:val="0B0C0C"/>
          <w:shd w:val="clear" w:color="auto" w:fill="FFFFFF"/>
        </w:rPr>
      </w:pPr>
      <w:r>
        <w:rPr>
          <w:rFonts w:asciiTheme="minorHAnsi" w:hAnsiTheme="minorHAnsi" w:cs="Arial"/>
          <w:color w:val="0B0C0C"/>
          <w:shd w:val="clear" w:color="auto" w:fill="FFFFFF"/>
        </w:rPr>
        <w:t xml:space="preserve">The </w:t>
      </w:r>
      <w:r w:rsidR="00D5357E" w:rsidRPr="00D553A8">
        <w:rPr>
          <w:rFonts w:asciiTheme="minorHAnsi" w:hAnsiTheme="minorHAnsi" w:cs="Arial"/>
          <w:color w:val="0B0C0C"/>
          <w:shd w:val="clear" w:color="auto" w:fill="FFFFFF"/>
        </w:rPr>
        <w:t>website or app will meet these public sector requirements if it:</w:t>
      </w:r>
    </w:p>
    <w:p w14:paraId="74F9E79A" w14:textId="51FAFEDE" w:rsidR="00D5357E" w:rsidRPr="00D553A8" w:rsidRDefault="00D5357E" w:rsidP="00640C59">
      <w:pPr>
        <w:pStyle w:val="ListParagraph"/>
        <w:numPr>
          <w:ilvl w:val="0"/>
          <w:numId w:val="4"/>
        </w:numPr>
        <w:shd w:val="clear" w:color="auto" w:fill="FFFFFF"/>
        <w:ind w:left="714" w:hanging="357"/>
        <w:contextualSpacing w:val="0"/>
        <w:jc w:val="left"/>
        <w:rPr>
          <w:rFonts w:asciiTheme="minorHAnsi" w:hAnsiTheme="minorHAnsi" w:cs="Arial"/>
          <w:color w:val="0B0C0C"/>
        </w:rPr>
      </w:pPr>
      <w:r w:rsidRPr="00D553A8">
        <w:rPr>
          <w:rFonts w:asciiTheme="minorHAnsi" w:hAnsiTheme="minorHAnsi" w:cs="Arial"/>
          <w:color w:val="0B0C0C"/>
          <w:shd w:val="clear" w:color="auto" w:fill="FFFFFF"/>
        </w:rPr>
        <w:t xml:space="preserve">Complies with the </w:t>
      </w:r>
      <w:hyperlink r:id="rId22" w:history="1">
        <w:r w:rsidRPr="00D553A8">
          <w:rPr>
            <w:rFonts w:asciiTheme="minorHAnsi" w:hAnsiTheme="minorHAnsi" w:cs="Arial"/>
            <w:color w:val="4C2C92"/>
            <w:u w:val="single"/>
            <w:bdr w:val="none" w:sz="0" w:space="0" w:color="auto" w:frame="1"/>
          </w:rPr>
          <w:t>Web Content Accessibility Guidelines</w:t>
        </w:r>
      </w:hyperlink>
      <w:r w:rsidRPr="00D553A8">
        <w:rPr>
          <w:rFonts w:asciiTheme="minorHAnsi" w:hAnsiTheme="minorHAnsi" w:cs="Arial"/>
          <w:color w:val="0B0C0C"/>
        </w:rPr>
        <w:t xml:space="preserve">. These are an </w:t>
      </w:r>
      <w:r w:rsidR="00A17218" w:rsidRPr="00D553A8">
        <w:rPr>
          <w:rFonts w:asciiTheme="minorHAnsi" w:hAnsiTheme="minorHAnsi" w:cs="Arial"/>
          <w:color w:val="0B0C0C"/>
        </w:rPr>
        <w:t>internationally recognised</w:t>
      </w:r>
      <w:r w:rsidRPr="00D553A8">
        <w:rPr>
          <w:rFonts w:asciiTheme="minorHAnsi" w:hAnsiTheme="minorHAnsi" w:cs="Arial"/>
          <w:color w:val="0B0C0C"/>
        </w:rPr>
        <w:t xml:space="preserve"> set of recommendations for improving web accessibility. They explain how to make digital services, websites, and apps accessible to everyone, including users with impairments to their:</w:t>
      </w:r>
    </w:p>
    <w:p w14:paraId="3236F1E4" w14:textId="34ECDD83" w:rsidR="00D5357E" w:rsidRPr="00D553A8" w:rsidRDefault="00264F5C" w:rsidP="00311E27">
      <w:pPr>
        <w:pStyle w:val="ListParagraph"/>
        <w:numPr>
          <w:ilvl w:val="0"/>
          <w:numId w:val="1"/>
        </w:numPr>
        <w:shd w:val="clear" w:color="auto" w:fill="FFFFFF"/>
        <w:jc w:val="left"/>
        <w:rPr>
          <w:rFonts w:asciiTheme="minorHAnsi" w:hAnsiTheme="minorHAnsi" w:cs="Arial"/>
          <w:color w:val="0B0C0C"/>
        </w:rPr>
      </w:pPr>
      <w:r>
        <w:rPr>
          <w:rFonts w:asciiTheme="minorHAnsi" w:hAnsiTheme="minorHAnsi" w:cs="Arial"/>
          <w:color w:val="0B0C0C"/>
        </w:rPr>
        <w:t>Vision</w:t>
      </w:r>
    </w:p>
    <w:p w14:paraId="00EA7473" w14:textId="093A15F8" w:rsidR="00D5357E" w:rsidRPr="00D553A8" w:rsidRDefault="00D5357E" w:rsidP="00311E27">
      <w:pPr>
        <w:pStyle w:val="ListParagraph"/>
        <w:numPr>
          <w:ilvl w:val="0"/>
          <w:numId w:val="1"/>
        </w:numPr>
        <w:shd w:val="clear" w:color="auto" w:fill="FFFFFF"/>
        <w:jc w:val="left"/>
        <w:rPr>
          <w:rFonts w:asciiTheme="minorHAnsi" w:hAnsiTheme="minorHAnsi" w:cs="Arial"/>
          <w:color w:val="0B0C0C"/>
        </w:rPr>
      </w:pPr>
      <w:r w:rsidRPr="00D553A8">
        <w:rPr>
          <w:rFonts w:asciiTheme="minorHAnsi" w:hAnsiTheme="minorHAnsi" w:cs="Arial"/>
          <w:color w:val="0B0C0C"/>
        </w:rPr>
        <w:t xml:space="preserve">Hearing </w:t>
      </w:r>
    </w:p>
    <w:p w14:paraId="3D82113B" w14:textId="21B33156" w:rsidR="00D5357E" w:rsidRPr="00D553A8" w:rsidRDefault="00D5357E" w:rsidP="00311E27">
      <w:pPr>
        <w:pStyle w:val="ListParagraph"/>
        <w:numPr>
          <w:ilvl w:val="0"/>
          <w:numId w:val="1"/>
        </w:numPr>
        <w:shd w:val="clear" w:color="auto" w:fill="FFFFFF"/>
        <w:jc w:val="left"/>
        <w:rPr>
          <w:rFonts w:asciiTheme="minorHAnsi" w:hAnsiTheme="minorHAnsi" w:cs="Arial"/>
          <w:color w:val="0B0C0C"/>
        </w:rPr>
      </w:pPr>
      <w:r w:rsidRPr="00D553A8">
        <w:rPr>
          <w:rFonts w:asciiTheme="minorHAnsi" w:hAnsiTheme="minorHAnsi" w:cs="Arial"/>
          <w:color w:val="0B0C0C"/>
        </w:rPr>
        <w:t>Mobility</w:t>
      </w:r>
    </w:p>
    <w:p w14:paraId="41DBD9C7" w14:textId="2FBB8FB2" w:rsidR="00D5357E" w:rsidRPr="00D553A8" w:rsidRDefault="00D5357E" w:rsidP="00311E27">
      <w:pPr>
        <w:pStyle w:val="ListParagraph"/>
        <w:numPr>
          <w:ilvl w:val="0"/>
          <w:numId w:val="1"/>
        </w:numPr>
        <w:shd w:val="clear" w:color="auto" w:fill="FFFFFF"/>
        <w:ind w:left="1434" w:hanging="357"/>
        <w:contextualSpacing w:val="0"/>
        <w:jc w:val="left"/>
        <w:rPr>
          <w:rFonts w:asciiTheme="minorHAnsi" w:hAnsiTheme="minorHAnsi" w:cs="Arial"/>
          <w:color w:val="0B0C0C"/>
        </w:rPr>
      </w:pPr>
      <w:r w:rsidRPr="00D553A8">
        <w:rPr>
          <w:rFonts w:asciiTheme="minorHAnsi" w:hAnsiTheme="minorHAnsi" w:cs="Arial"/>
          <w:color w:val="0B0C0C"/>
        </w:rPr>
        <w:t xml:space="preserve">Thinking and understanding </w:t>
      </w:r>
    </w:p>
    <w:p w14:paraId="2A3E8854" w14:textId="77777777" w:rsidR="00D5357E" w:rsidRPr="00D553A8" w:rsidRDefault="00D5357E" w:rsidP="00640C59">
      <w:pPr>
        <w:pStyle w:val="ListParagraph"/>
        <w:numPr>
          <w:ilvl w:val="0"/>
          <w:numId w:val="4"/>
        </w:numPr>
        <w:shd w:val="clear" w:color="auto" w:fill="FFFFFF"/>
        <w:ind w:left="714" w:hanging="357"/>
        <w:contextualSpacing w:val="0"/>
        <w:rPr>
          <w:rFonts w:asciiTheme="minorHAnsi" w:hAnsiTheme="minorHAnsi" w:cs="Arial"/>
          <w:color w:val="0B0C0C"/>
          <w:shd w:val="clear" w:color="auto" w:fill="FFFFFF"/>
        </w:rPr>
      </w:pPr>
      <w:r w:rsidRPr="00D553A8">
        <w:rPr>
          <w:rFonts w:asciiTheme="minorHAnsi" w:hAnsiTheme="minorHAnsi" w:cs="Arial"/>
          <w:color w:val="0B0C0C"/>
          <w:shd w:val="clear" w:color="auto" w:fill="FFFFFF"/>
        </w:rPr>
        <w:t>Works on the most commonly used</w:t>
      </w:r>
      <w:r w:rsidR="00C21ABE" w:rsidRPr="00D553A8">
        <w:rPr>
          <w:rFonts w:asciiTheme="minorHAnsi" w:hAnsiTheme="minorHAnsi" w:cs="Arial"/>
          <w:color w:val="0B0C0C"/>
          <w:shd w:val="clear" w:color="auto" w:fill="FFFFFF"/>
        </w:rPr>
        <w:t xml:space="preserve"> </w:t>
      </w:r>
      <w:hyperlink r:id="rId23" w:history="1">
        <w:r w:rsidRPr="00D553A8">
          <w:rPr>
            <w:rFonts w:asciiTheme="minorHAnsi" w:hAnsiTheme="minorHAnsi" w:cs="Arial"/>
            <w:color w:val="0B0C0C"/>
            <w:shd w:val="clear" w:color="auto" w:fill="FFFFFF"/>
          </w:rPr>
          <w:t>assistive technologies</w:t>
        </w:r>
      </w:hyperlink>
      <w:r w:rsidRPr="00D553A8">
        <w:rPr>
          <w:rFonts w:asciiTheme="minorHAnsi" w:hAnsiTheme="minorHAnsi" w:cs="Arial"/>
          <w:color w:val="0B0C0C"/>
          <w:shd w:val="clear" w:color="auto" w:fill="FFFFFF"/>
        </w:rPr>
        <w:t>, including screen magnifiers, screen readers and speech recognition tools</w:t>
      </w:r>
    </w:p>
    <w:p w14:paraId="3C00BA9C" w14:textId="77777777" w:rsidR="00D5357E" w:rsidRPr="00D553A8" w:rsidRDefault="00D5357E" w:rsidP="00640C59">
      <w:pPr>
        <w:pStyle w:val="ListParagraph"/>
        <w:numPr>
          <w:ilvl w:val="0"/>
          <w:numId w:val="4"/>
        </w:numPr>
        <w:shd w:val="clear" w:color="auto" w:fill="FFFFFF"/>
        <w:ind w:left="714" w:hanging="357"/>
        <w:contextualSpacing w:val="0"/>
        <w:rPr>
          <w:rFonts w:asciiTheme="minorHAnsi" w:hAnsiTheme="minorHAnsi" w:cs="Arial"/>
          <w:color w:val="0B0C0C"/>
          <w:shd w:val="clear" w:color="auto" w:fill="FFFFFF"/>
        </w:rPr>
      </w:pPr>
      <w:r w:rsidRPr="00D553A8">
        <w:rPr>
          <w:rFonts w:asciiTheme="minorHAnsi" w:hAnsiTheme="minorHAnsi" w:cs="Arial"/>
          <w:color w:val="0B0C0C"/>
          <w:shd w:val="clear" w:color="auto" w:fill="FFFFFF"/>
        </w:rPr>
        <w:t>Includes people with disabilities in</w:t>
      </w:r>
      <w:r w:rsidR="00C21ABE" w:rsidRPr="00D553A8">
        <w:rPr>
          <w:rFonts w:asciiTheme="minorHAnsi" w:hAnsiTheme="minorHAnsi" w:cs="Arial"/>
          <w:color w:val="0B0C0C"/>
          <w:shd w:val="clear" w:color="auto" w:fill="FFFFFF"/>
        </w:rPr>
        <w:t xml:space="preserve"> </w:t>
      </w:r>
      <w:hyperlink r:id="rId24" w:history="1">
        <w:r w:rsidRPr="00D553A8">
          <w:rPr>
            <w:rFonts w:asciiTheme="minorHAnsi" w:hAnsiTheme="minorHAnsi" w:cs="Arial"/>
            <w:color w:val="0B0C0C"/>
            <w:shd w:val="clear" w:color="auto" w:fill="FFFFFF"/>
          </w:rPr>
          <w:t>user research</w:t>
        </w:r>
      </w:hyperlink>
    </w:p>
    <w:p w14:paraId="41EC64BB" w14:textId="1C6587DB" w:rsidR="00D5357E" w:rsidRPr="00D553A8" w:rsidRDefault="00C21ABE" w:rsidP="00311E27">
      <w:pPr>
        <w:pStyle w:val="Heading2"/>
        <w:spacing w:line="276" w:lineRule="auto"/>
      </w:pPr>
      <w:bookmarkStart w:id="132" w:name="_Toc72250681"/>
      <w:bookmarkStart w:id="133" w:name="_Toc77029482"/>
      <w:bookmarkStart w:id="134" w:name="_Toc77079479"/>
      <w:bookmarkStart w:id="135" w:name="_Toc78192717"/>
      <w:bookmarkStart w:id="136" w:name="_Toc213777621"/>
      <w:r w:rsidRPr="00D553A8">
        <w:lastRenderedPageBreak/>
        <w:t>Communication</w:t>
      </w:r>
      <w:r w:rsidR="0019798A">
        <w:t>s</w:t>
      </w:r>
      <w:r w:rsidR="00D5357E" w:rsidRPr="00D553A8">
        <w:t xml:space="preserve"> plan</w:t>
      </w:r>
      <w:bookmarkEnd w:id="128"/>
      <w:bookmarkEnd w:id="129"/>
      <w:bookmarkEnd w:id="130"/>
      <w:bookmarkEnd w:id="132"/>
      <w:bookmarkEnd w:id="133"/>
      <w:bookmarkEnd w:id="134"/>
      <w:bookmarkEnd w:id="135"/>
      <w:bookmarkEnd w:id="136"/>
    </w:p>
    <w:p w14:paraId="24E12CE2" w14:textId="59AFEFAD" w:rsidR="00EF71C3" w:rsidRPr="00D553A8" w:rsidRDefault="00D5357E" w:rsidP="00311E27">
      <w:pPr>
        <w:spacing w:line="276" w:lineRule="auto"/>
      </w:pPr>
      <w:r w:rsidRPr="00D553A8">
        <w:t xml:space="preserve">A comprehensive </w:t>
      </w:r>
      <w:r w:rsidR="00C21ABE" w:rsidRPr="00D553A8">
        <w:t>communication</w:t>
      </w:r>
      <w:r w:rsidR="0019798A">
        <w:t>s</w:t>
      </w:r>
      <w:r w:rsidRPr="00D553A8">
        <w:t xml:space="preserve"> plan will form part of the project delivery and must be provided for review by HQIP during the early stages of the contract. Dissemination of project </w:t>
      </w:r>
      <w:r w:rsidR="009F7980">
        <w:t>outputs</w:t>
      </w:r>
      <w:r w:rsidRPr="00D553A8">
        <w:t xml:space="preserve"> are expected to be to the full range of interested parties </w:t>
      </w:r>
      <w:r w:rsidR="00EF71C3" w:rsidRPr="00D553A8">
        <w:t>but not limited to:</w:t>
      </w:r>
    </w:p>
    <w:p w14:paraId="6D83A780" w14:textId="77777777" w:rsidR="00EF71C3" w:rsidRPr="00D553A8" w:rsidRDefault="00EF71C3" w:rsidP="00640C59">
      <w:pPr>
        <w:pStyle w:val="ListParagraph"/>
        <w:numPr>
          <w:ilvl w:val="0"/>
          <w:numId w:val="6"/>
        </w:numPr>
        <w:tabs>
          <w:tab w:val="left" w:pos="1701"/>
          <w:tab w:val="left" w:pos="3261"/>
        </w:tabs>
        <w:jc w:val="left"/>
        <w:rPr>
          <w:rFonts w:asciiTheme="minorHAnsi" w:hAnsiTheme="minorHAnsi"/>
        </w:rPr>
      </w:pPr>
      <w:r w:rsidRPr="00D553A8">
        <w:rPr>
          <w:rFonts w:asciiTheme="minorHAnsi" w:hAnsiTheme="minorHAnsi"/>
        </w:rPr>
        <w:t>Clinical service providers – individual clinicians and managers, teams, and their organisations (Trusts an</w:t>
      </w:r>
      <w:r w:rsidR="00C96597" w:rsidRPr="00D553A8">
        <w:rPr>
          <w:rFonts w:asciiTheme="minorHAnsi" w:hAnsiTheme="minorHAnsi"/>
        </w:rPr>
        <w:t>d Health b</w:t>
      </w:r>
      <w:r w:rsidRPr="00D553A8">
        <w:rPr>
          <w:rFonts w:asciiTheme="minorHAnsi" w:hAnsiTheme="minorHAnsi"/>
        </w:rPr>
        <w:t>oards)</w:t>
      </w:r>
    </w:p>
    <w:p w14:paraId="6EBDCBB0" w14:textId="12BF9E58" w:rsidR="00EF71C3" w:rsidRPr="00D553A8" w:rsidRDefault="00EF71C3" w:rsidP="00640C59">
      <w:pPr>
        <w:pStyle w:val="ListParagraph"/>
        <w:numPr>
          <w:ilvl w:val="0"/>
          <w:numId w:val="6"/>
        </w:numPr>
        <w:tabs>
          <w:tab w:val="left" w:pos="1701"/>
          <w:tab w:val="left" w:pos="3261"/>
        </w:tabs>
        <w:jc w:val="left"/>
        <w:rPr>
          <w:rFonts w:asciiTheme="minorHAnsi" w:hAnsiTheme="minorHAnsi"/>
        </w:rPr>
      </w:pPr>
      <w:r w:rsidRPr="00D553A8">
        <w:rPr>
          <w:rFonts w:asciiTheme="minorHAnsi" w:hAnsiTheme="minorHAnsi"/>
        </w:rPr>
        <w:t>Patients, carers</w:t>
      </w:r>
      <w:r w:rsidR="00072227">
        <w:rPr>
          <w:rFonts w:asciiTheme="minorHAnsi" w:hAnsiTheme="minorHAnsi"/>
        </w:rPr>
        <w:t xml:space="preserve"> </w:t>
      </w:r>
      <w:r w:rsidRPr="00D553A8">
        <w:rPr>
          <w:rFonts w:asciiTheme="minorHAnsi" w:hAnsiTheme="minorHAnsi"/>
        </w:rPr>
        <w:t>and the public</w:t>
      </w:r>
    </w:p>
    <w:p w14:paraId="023C1840" w14:textId="77777777" w:rsidR="00EF71C3" w:rsidRPr="00D553A8" w:rsidRDefault="00EF71C3" w:rsidP="00640C59">
      <w:pPr>
        <w:pStyle w:val="ListParagraph"/>
        <w:numPr>
          <w:ilvl w:val="0"/>
          <w:numId w:val="6"/>
        </w:numPr>
        <w:tabs>
          <w:tab w:val="left" w:pos="1701"/>
          <w:tab w:val="left" w:pos="3261"/>
        </w:tabs>
        <w:jc w:val="left"/>
        <w:rPr>
          <w:rFonts w:asciiTheme="minorHAnsi" w:hAnsiTheme="minorHAnsi"/>
        </w:rPr>
      </w:pPr>
      <w:r w:rsidRPr="00D553A8">
        <w:rPr>
          <w:rFonts w:asciiTheme="minorHAnsi" w:hAnsiTheme="minorHAnsi"/>
        </w:rPr>
        <w:t>Charities and voluntary organisations</w:t>
      </w:r>
    </w:p>
    <w:p w14:paraId="567B05B9" w14:textId="77777777" w:rsidR="00EF71C3" w:rsidRPr="00D553A8" w:rsidRDefault="00EF71C3" w:rsidP="00640C59">
      <w:pPr>
        <w:pStyle w:val="ListParagraph"/>
        <w:numPr>
          <w:ilvl w:val="0"/>
          <w:numId w:val="6"/>
        </w:numPr>
        <w:tabs>
          <w:tab w:val="left" w:pos="1701"/>
          <w:tab w:val="left" w:pos="3261"/>
        </w:tabs>
        <w:jc w:val="left"/>
        <w:rPr>
          <w:rFonts w:asciiTheme="minorHAnsi" w:hAnsiTheme="minorHAnsi"/>
        </w:rPr>
      </w:pPr>
      <w:r w:rsidRPr="00D553A8">
        <w:rPr>
          <w:rFonts w:asciiTheme="minorHAnsi" w:hAnsiTheme="minorHAnsi"/>
        </w:rPr>
        <w:t>Medical Royal Colleges, specialist societies and allied health profession organisations</w:t>
      </w:r>
    </w:p>
    <w:p w14:paraId="48976612" w14:textId="77777777" w:rsidR="00EF71C3" w:rsidRPr="00D553A8" w:rsidRDefault="007B497B" w:rsidP="00640C59">
      <w:pPr>
        <w:pStyle w:val="ListParagraph"/>
        <w:numPr>
          <w:ilvl w:val="0"/>
          <w:numId w:val="6"/>
        </w:numPr>
        <w:tabs>
          <w:tab w:val="left" w:pos="1701"/>
          <w:tab w:val="left" w:pos="3261"/>
        </w:tabs>
        <w:jc w:val="left"/>
        <w:rPr>
          <w:rFonts w:asciiTheme="minorHAnsi" w:hAnsiTheme="minorHAnsi"/>
        </w:rPr>
      </w:pPr>
      <w:r w:rsidRPr="00D553A8">
        <w:rPr>
          <w:rFonts w:asciiTheme="minorHAnsi" w:hAnsiTheme="minorHAnsi"/>
        </w:rPr>
        <w:t>Service commissioners</w:t>
      </w:r>
    </w:p>
    <w:p w14:paraId="7333A58A" w14:textId="77777777" w:rsidR="00EF71C3" w:rsidRDefault="00EF71C3" w:rsidP="00640C59">
      <w:pPr>
        <w:pStyle w:val="ListParagraph"/>
        <w:numPr>
          <w:ilvl w:val="0"/>
          <w:numId w:val="6"/>
        </w:numPr>
        <w:tabs>
          <w:tab w:val="left" w:pos="1701"/>
          <w:tab w:val="left" w:pos="3261"/>
        </w:tabs>
        <w:jc w:val="left"/>
        <w:rPr>
          <w:rFonts w:asciiTheme="minorHAnsi" w:hAnsiTheme="minorHAnsi"/>
        </w:rPr>
      </w:pPr>
      <w:r w:rsidRPr="00D553A8">
        <w:rPr>
          <w:rFonts w:asciiTheme="minorHAnsi" w:hAnsiTheme="minorHAnsi"/>
        </w:rPr>
        <w:t>Integrated Care Systems (ICS)</w:t>
      </w:r>
    </w:p>
    <w:p w14:paraId="3ED71136" w14:textId="77777777" w:rsidR="00905CDB" w:rsidRDefault="00905CDB" w:rsidP="00905CDB">
      <w:pPr>
        <w:pStyle w:val="ListParagraph"/>
        <w:numPr>
          <w:ilvl w:val="0"/>
          <w:numId w:val="6"/>
        </w:numPr>
        <w:tabs>
          <w:tab w:val="left" w:pos="1701"/>
          <w:tab w:val="left" w:pos="3261"/>
        </w:tabs>
        <w:jc w:val="left"/>
        <w:rPr>
          <w:rFonts w:asciiTheme="minorHAnsi" w:hAnsiTheme="minorHAnsi"/>
        </w:rPr>
      </w:pPr>
      <w:r>
        <w:rPr>
          <w:rFonts w:asciiTheme="minorHAnsi" w:hAnsiTheme="minorHAnsi"/>
        </w:rPr>
        <w:t>Integrated Health Organisations (where applicable)</w:t>
      </w:r>
    </w:p>
    <w:p w14:paraId="5F4B7A4D" w14:textId="0987E005" w:rsidR="009F7980" w:rsidRPr="00D553A8" w:rsidRDefault="009F7980" w:rsidP="00640C59">
      <w:pPr>
        <w:pStyle w:val="ListParagraph"/>
        <w:numPr>
          <w:ilvl w:val="0"/>
          <w:numId w:val="6"/>
        </w:numPr>
        <w:tabs>
          <w:tab w:val="left" w:pos="1701"/>
          <w:tab w:val="left" w:pos="3261"/>
        </w:tabs>
        <w:jc w:val="left"/>
        <w:rPr>
          <w:rFonts w:asciiTheme="minorHAnsi" w:hAnsiTheme="minorHAnsi"/>
        </w:rPr>
      </w:pPr>
      <w:r>
        <w:rPr>
          <w:rFonts w:asciiTheme="minorHAnsi" w:hAnsiTheme="minorHAnsi"/>
        </w:rPr>
        <w:t>Regional bodies</w:t>
      </w:r>
    </w:p>
    <w:p w14:paraId="57E78FB6" w14:textId="6329A915" w:rsidR="00CE0651" w:rsidRPr="00D553A8" w:rsidRDefault="00CE0651" w:rsidP="00640C59">
      <w:pPr>
        <w:pStyle w:val="ListParagraph"/>
        <w:numPr>
          <w:ilvl w:val="0"/>
          <w:numId w:val="6"/>
        </w:numPr>
        <w:tabs>
          <w:tab w:val="left" w:pos="1701"/>
          <w:tab w:val="left" w:pos="3261"/>
        </w:tabs>
        <w:jc w:val="left"/>
        <w:rPr>
          <w:rFonts w:asciiTheme="minorHAnsi" w:hAnsiTheme="minorHAnsi"/>
        </w:rPr>
      </w:pPr>
      <w:r w:rsidRPr="00D553A8">
        <w:rPr>
          <w:rFonts w:asciiTheme="minorHAnsi" w:hAnsiTheme="minorHAnsi"/>
        </w:rPr>
        <w:t>Health Innovation Network</w:t>
      </w:r>
      <w:r w:rsidR="00B71BE7" w:rsidRPr="00D553A8">
        <w:rPr>
          <w:rFonts w:asciiTheme="minorHAnsi" w:hAnsiTheme="minorHAnsi"/>
        </w:rPr>
        <w:t>s</w:t>
      </w:r>
    </w:p>
    <w:p w14:paraId="24AD01D2" w14:textId="77777777" w:rsidR="00EF71C3" w:rsidRPr="00D553A8" w:rsidRDefault="00EF71C3" w:rsidP="00640C59">
      <w:pPr>
        <w:pStyle w:val="ListParagraph"/>
        <w:numPr>
          <w:ilvl w:val="0"/>
          <w:numId w:val="6"/>
        </w:numPr>
        <w:tabs>
          <w:tab w:val="left" w:pos="1701"/>
          <w:tab w:val="left" w:pos="3261"/>
        </w:tabs>
        <w:jc w:val="left"/>
        <w:rPr>
          <w:rFonts w:asciiTheme="minorHAnsi" w:hAnsiTheme="minorHAnsi"/>
        </w:rPr>
      </w:pPr>
      <w:r w:rsidRPr="00D553A8">
        <w:rPr>
          <w:rFonts w:asciiTheme="minorHAnsi" w:hAnsiTheme="minorHAnsi"/>
        </w:rPr>
        <w:t>Care regulators (CQC and Health Ins</w:t>
      </w:r>
      <w:r w:rsidR="007B497B" w:rsidRPr="00D553A8">
        <w:rPr>
          <w:rFonts w:asciiTheme="minorHAnsi" w:hAnsiTheme="minorHAnsi"/>
        </w:rPr>
        <w:t>pectorate Wales)</w:t>
      </w:r>
    </w:p>
    <w:p w14:paraId="1C2B9594" w14:textId="5C2A5CD9" w:rsidR="00EF71C3" w:rsidRPr="00D553A8" w:rsidRDefault="005B0A08" w:rsidP="00640C59">
      <w:pPr>
        <w:pStyle w:val="ListParagraph"/>
        <w:numPr>
          <w:ilvl w:val="0"/>
          <w:numId w:val="6"/>
        </w:numPr>
        <w:tabs>
          <w:tab w:val="left" w:pos="1701"/>
          <w:tab w:val="left" w:pos="3261"/>
        </w:tabs>
        <w:jc w:val="left"/>
        <w:rPr>
          <w:rFonts w:asciiTheme="minorHAnsi" w:hAnsiTheme="minorHAnsi"/>
        </w:rPr>
      </w:pPr>
      <w:r w:rsidRPr="005B0A08">
        <w:rPr>
          <w:rFonts w:asciiTheme="minorHAnsi" w:hAnsiTheme="minorHAnsi"/>
        </w:rPr>
        <w:t>NHS Wales Joint Commissioning Committee (NWJCC)</w:t>
      </w:r>
      <w:r>
        <w:rPr>
          <w:rFonts w:asciiTheme="minorHAnsi" w:hAnsiTheme="minorHAnsi"/>
        </w:rPr>
        <w:t xml:space="preserve"> (</w:t>
      </w:r>
      <w:hyperlink r:id="rId25" w:history="1">
        <w:r w:rsidRPr="005B0A08">
          <w:rPr>
            <w:rStyle w:val="Hyperlink"/>
            <w:rFonts w:asciiTheme="minorHAnsi" w:hAnsiTheme="minorHAnsi"/>
          </w:rPr>
          <w:t>https://jcc.nhs.wales/</w:t>
        </w:r>
      </w:hyperlink>
      <w:r>
        <w:rPr>
          <w:rFonts w:asciiTheme="minorHAnsi" w:hAnsiTheme="minorHAnsi"/>
        </w:rPr>
        <w:t>)</w:t>
      </w:r>
    </w:p>
    <w:p w14:paraId="284F1182" w14:textId="1AC08464" w:rsidR="00B44A19" w:rsidRPr="00E931C2" w:rsidRDefault="00EF71C3" w:rsidP="00B44A19">
      <w:pPr>
        <w:pStyle w:val="ListParagraph"/>
        <w:numPr>
          <w:ilvl w:val="0"/>
          <w:numId w:val="6"/>
        </w:numPr>
        <w:tabs>
          <w:tab w:val="left" w:pos="1701"/>
          <w:tab w:val="left" w:pos="3261"/>
        </w:tabs>
        <w:rPr>
          <w:rStyle w:val="Hyperlink"/>
          <w:rFonts w:asciiTheme="minorHAnsi" w:hAnsiTheme="minorHAnsi"/>
        </w:rPr>
      </w:pPr>
      <w:r w:rsidRPr="00D553A8">
        <w:rPr>
          <w:rFonts w:asciiTheme="minorHAnsi" w:hAnsiTheme="minorHAnsi"/>
        </w:rPr>
        <w:t>National policymakers and commissioners including NHS England, Welsh Government, Depart</w:t>
      </w:r>
      <w:r w:rsidRPr="00B44A19">
        <w:rPr>
          <w:rFonts w:asciiTheme="minorHAnsi" w:hAnsiTheme="minorHAnsi"/>
        </w:rPr>
        <w:t>ment of Health and Social Care</w:t>
      </w:r>
      <w:r w:rsidR="00B44A19" w:rsidRPr="00B44A19">
        <w:rPr>
          <w:rFonts w:asciiTheme="minorHAnsi" w:hAnsiTheme="minorHAnsi"/>
        </w:rPr>
        <w:t xml:space="preserve">, </w:t>
      </w:r>
      <w:r w:rsidR="00B44A19" w:rsidRPr="00E931C2">
        <w:rPr>
          <w:rFonts w:asciiTheme="minorHAnsi" w:hAnsiTheme="minorHAnsi"/>
        </w:rPr>
        <w:t>Health and Care Jersey</w:t>
      </w:r>
      <w:r w:rsidR="009328AD">
        <w:rPr>
          <w:rFonts w:asciiTheme="minorHAnsi" w:hAnsiTheme="minorHAnsi"/>
        </w:rPr>
        <w:t>,</w:t>
      </w:r>
      <w:r w:rsidR="00B44A19" w:rsidRPr="00E931C2">
        <w:rPr>
          <w:rFonts w:asciiTheme="minorHAnsi" w:hAnsiTheme="minorHAnsi"/>
        </w:rPr>
        <w:t xml:space="preserve"> and </w:t>
      </w:r>
      <w:r w:rsidR="00B44A19" w:rsidRPr="00B44A19">
        <w:rPr>
          <w:rFonts w:asciiTheme="minorHAnsi" w:hAnsiTheme="minorHAnsi"/>
        </w:rPr>
        <w:fldChar w:fldCharType="begin"/>
      </w:r>
      <w:r w:rsidR="00B44A19" w:rsidRPr="00E931C2">
        <w:rPr>
          <w:rFonts w:asciiTheme="minorHAnsi" w:hAnsiTheme="minorHAnsi"/>
        </w:rPr>
        <w:instrText>HYPERLINK "https://www.nj.gov/health/"</w:instrText>
      </w:r>
      <w:r w:rsidR="00B44A19" w:rsidRPr="00B44A19">
        <w:rPr>
          <w:rFonts w:asciiTheme="minorHAnsi" w:hAnsiTheme="minorHAnsi"/>
        </w:rPr>
      </w:r>
      <w:r w:rsidR="00B44A19" w:rsidRPr="00B44A19">
        <w:rPr>
          <w:rFonts w:asciiTheme="minorHAnsi" w:hAnsiTheme="minorHAnsi"/>
        </w:rPr>
        <w:fldChar w:fldCharType="separate"/>
      </w:r>
      <w:r w:rsidR="00B44A19" w:rsidRPr="00E931C2">
        <w:rPr>
          <w:rStyle w:val="Hyperlink"/>
          <w:rFonts w:asciiTheme="minorHAnsi" w:hAnsiTheme="minorHAnsi"/>
        </w:rPr>
        <w:t>Department of Health for the State of New Jersey</w:t>
      </w:r>
    </w:p>
    <w:p w14:paraId="4F1622C2" w14:textId="75D445F1" w:rsidR="00EF71C3" w:rsidRDefault="00B44A19" w:rsidP="00E931C2">
      <w:pPr>
        <w:ind w:left="360"/>
      </w:pPr>
      <w:r w:rsidRPr="00B44A19">
        <w:fldChar w:fldCharType="end"/>
      </w:r>
    </w:p>
    <w:p w14:paraId="6BD5AECF" w14:textId="5BCDE3E2" w:rsidR="00D5357E" w:rsidRPr="00D553A8" w:rsidRDefault="00D5357E" w:rsidP="003E092B">
      <w:pPr>
        <w:widowControl/>
        <w:tabs>
          <w:tab w:val="left" w:pos="1701"/>
          <w:tab w:val="left" w:pos="3261"/>
        </w:tabs>
        <w:autoSpaceDE/>
        <w:autoSpaceDN/>
        <w:spacing w:line="276" w:lineRule="auto"/>
        <w:contextualSpacing/>
      </w:pPr>
      <w:r w:rsidRPr="00D553A8">
        <w:t xml:space="preserve">Dissemination should take place through a variety of formats and activities appropriate to the needs of the target audience. The interpretation of the project results for all reports must reflect the same integral clinical leadership, methodological/statistical input and patient and public involvement as other stages of the project, to ensure the data can be used by the clinical community for </w:t>
      </w:r>
      <w:r w:rsidR="00E94752" w:rsidRPr="00D553A8">
        <w:t xml:space="preserve">quality </w:t>
      </w:r>
      <w:r w:rsidRPr="00D553A8">
        <w:t>improvement and remains grounded in the needs of the patients.</w:t>
      </w:r>
    </w:p>
    <w:p w14:paraId="7FA03375" w14:textId="77777777" w:rsidR="00311E27" w:rsidRPr="00D553A8" w:rsidRDefault="00311E27" w:rsidP="00311E27">
      <w:pPr>
        <w:tabs>
          <w:tab w:val="left" w:pos="1701"/>
          <w:tab w:val="left" w:pos="3261"/>
        </w:tabs>
        <w:spacing w:line="276" w:lineRule="auto"/>
      </w:pPr>
    </w:p>
    <w:p w14:paraId="02324349" w14:textId="621DE890" w:rsidR="00D5357E" w:rsidRPr="00D553A8" w:rsidRDefault="00311E27" w:rsidP="00222663">
      <w:pPr>
        <w:widowControl/>
        <w:tabs>
          <w:tab w:val="left" w:pos="1701"/>
          <w:tab w:val="left" w:pos="3261"/>
        </w:tabs>
        <w:autoSpaceDE/>
        <w:autoSpaceDN/>
        <w:spacing w:line="276" w:lineRule="auto"/>
        <w:contextualSpacing/>
      </w:pPr>
      <w:r w:rsidRPr="00D553A8">
        <w:t>All summative</w:t>
      </w:r>
      <w:r w:rsidR="00F85E14" w:rsidRPr="00D553A8">
        <w:t xml:space="preserve"> </w:t>
      </w:r>
      <w:r w:rsidRPr="00D553A8">
        <w:t xml:space="preserve">reports produced under this contract (such as the ‘state of the nation’ reports) must be </w:t>
      </w:r>
      <w:r w:rsidR="00C57A51" w:rsidRPr="00D553A8">
        <w:t>publicly</w:t>
      </w:r>
      <w:r w:rsidRPr="00D553A8">
        <w:t xml:space="preserve"> accessible unless they are reporting pilot or developmental work. Findings and recommendations should be accessible to all relevant audiences. </w:t>
      </w:r>
    </w:p>
    <w:p w14:paraId="1F218782" w14:textId="77777777" w:rsidR="006C5855" w:rsidRPr="00D553A8" w:rsidRDefault="006C5855" w:rsidP="00311E27">
      <w:pPr>
        <w:tabs>
          <w:tab w:val="left" w:pos="1701"/>
          <w:tab w:val="left" w:pos="3261"/>
        </w:tabs>
        <w:spacing w:line="276" w:lineRule="auto"/>
      </w:pPr>
    </w:p>
    <w:p w14:paraId="64583B80" w14:textId="77777777" w:rsidR="006C5855" w:rsidRPr="00D553A8" w:rsidRDefault="006C5855" w:rsidP="00311E27">
      <w:pPr>
        <w:pStyle w:val="Heading2"/>
        <w:spacing w:line="276" w:lineRule="auto"/>
      </w:pPr>
      <w:bookmarkStart w:id="137" w:name="_Toc213777622"/>
      <w:r w:rsidRPr="00D553A8">
        <w:t>UPCARE tool</w:t>
      </w:r>
      <w:bookmarkEnd w:id="137"/>
    </w:p>
    <w:p w14:paraId="2999AC94" w14:textId="00144AC9" w:rsidR="006C5855" w:rsidRPr="00D553A8" w:rsidRDefault="006C5855" w:rsidP="00311E27">
      <w:pPr>
        <w:tabs>
          <w:tab w:val="left" w:pos="1701"/>
          <w:tab w:val="left" w:pos="3261"/>
        </w:tabs>
        <w:spacing w:line="276" w:lineRule="auto"/>
      </w:pPr>
      <w:r w:rsidRPr="00D553A8">
        <w:t xml:space="preserve">The Understanding Practice in Clinical Audit and Registries (UPCARE) tool is a protocol to describe the key features of clinical audits and registries. Project </w:t>
      </w:r>
      <w:r w:rsidR="005B3700" w:rsidRPr="00D553A8">
        <w:t>supplier</w:t>
      </w:r>
      <w:r w:rsidRPr="00D553A8">
        <w:t xml:space="preserve">s are expected to maintain a </w:t>
      </w:r>
      <w:r w:rsidR="00C57A51" w:rsidRPr="00D553A8">
        <w:t>publicly</w:t>
      </w:r>
      <w:r w:rsidRPr="00D553A8">
        <w:t xml:space="preserve"> available, dynamic and regularly refreshed UPCARE document online.</w:t>
      </w:r>
    </w:p>
    <w:p w14:paraId="077E80FC" w14:textId="76DF3E45" w:rsidR="00D5357E" w:rsidRDefault="00D5357E" w:rsidP="006B1F92">
      <w:pPr>
        <w:pStyle w:val="Heading1"/>
      </w:pPr>
      <w:bookmarkStart w:id="138" w:name="_Toc72250686"/>
      <w:bookmarkStart w:id="139" w:name="_Toc77029487"/>
      <w:bookmarkStart w:id="140" w:name="_Toc77079484"/>
      <w:bookmarkStart w:id="141" w:name="_Toc78192722"/>
      <w:bookmarkStart w:id="142" w:name="_Toc213777623"/>
      <w:r w:rsidRPr="00D553A8">
        <w:t>Requirements specific to contracts covering Wales</w:t>
      </w:r>
      <w:bookmarkEnd w:id="138"/>
      <w:bookmarkEnd w:id="139"/>
      <w:bookmarkEnd w:id="140"/>
      <w:bookmarkEnd w:id="141"/>
      <w:r w:rsidRPr="00D553A8">
        <w:t xml:space="preserve"> </w:t>
      </w:r>
      <w:r w:rsidR="00A17218">
        <w:t>and Jersey</w:t>
      </w:r>
      <w:bookmarkEnd w:id="142"/>
    </w:p>
    <w:p w14:paraId="1B270782" w14:textId="77777777" w:rsidR="00D5357E" w:rsidRPr="00D553A8" w:rsidRDefault="00D5357E" w:rsidP="00311E27">
      <w:pPr>
        <w:pStyle w:val="Heading2"/>
        <w:spacing w:line="276" w:lineRule="auto"/>
      </w:pPr>
      <w:bookmarkStart w:id="143" w:name="_Toc72250687"/>
      <w:bookmarkStart w:id="144" w:name="_Toc77029488"/>
      <w:bookmarkStart w:id="145" w:name="_Toc77079485"/>
      <w:bookmarkStart w:id="146" w:name="_Toc78192723"/>
      <w:bookmarkStart w:id="147" w:name="_Toc213777624"/>
      <w:r w:rsidRPr="00D553A8">
        <w:t xml:space="preserve">Welsh </w:t>
      </w:r>
      <w:r w:rsidR="00647CBB" w:rsidRPr="00D553A8">
        <w:t>l</w:t>
      </w:r>
      <w:r w:rsidRPr="00D553A8">
        <w:t>anguage</w:t>
      </w:r>
      <w:r w:rsidR="00647CBB" w:rsidRPr="00D553A8">
        <w:t xml:space="preserve"> p</w:t>
      </w:r>
      <w:r w:rsidRPr="00D553A8">
        <w:t>rovision</w:t>
      </w:r>
      <w:bookmarkEnd w:id="143"/>
      <w:bookmarkEnd w:id="144"/>
      <w:bookmarkEnd w:id="145"/>
      <w:bookmarkEnd w:id="146"/>
      <w:bookmarkEnd w:id="147"/>
    </w:p>
    <w:p w14:paraId="4357D666" w14:textId="0160C062" w:rsidR="00D5357E" w:rsidRPr="00D553A8" w:rsidRDefault="00D5357E" w:rsidP="00311E27">
      <w:pPr>
        <w:tabs>
          <w:tab w:val="left" w:pos="1701"/>
          <w:tab w:val="left" w:pos="3261"/>
        </w:tabs>
        <w:spacing w:line="276" w:lineRule="auto"/>
      </w:pPr>
      <w:r w:rsidRPr="00D553A8">
        <w:t xml:space="preserve">Welsh translation should be achieved for any NCAPOP-commissioned document designed to elicit a direct response from a patient or carer in </w:t>
      </w:r>
      <w:r w:rsidR="00D156F7" w:rsidRPr="00D553A8">
        <w:t>Wales or</w:t>
      </w:r>
      <w:r w:rsidRPr="00D553A8">
        <w:t xml:space="preserve"> designed to support that direct response. This includes consent materials, questionnaires, and patient information sheets. These should be </w:t>
      </w:r>
      <w:r w:rsidR="00C57A51" w:rsidRPr="00D553A8">
        <w:t>publicly</w:t>
      </w:r>
      <w:r w:rsidRPr="00D553A8">
        <w:t xml:space="preserve"> accessible on the project website.</w:t>
      </w:r>
    </w:p>
    <w:p w14:paraId="1BC8EE88" w14:textId="77777777" w:rsidR="00894F1D" w:rsidRPr="00D553A8" w:rsidRDefault="00894F1D" w:rsidP="00311E27">
      <w:pPr>
        <w:tabs>
          <w:tab w:val="left" w:pos="1701"/>
          <w:tab w:val="left" w:pos="3261"/>
        </w:tabs>
        <w:spacing w:line="276" w:lineRule="auto"/>
      </w:pPr>
    </w:p>
    <w:p w14:paraId="0673AB54" w14:textId="01280A9E" w:rsidR="00D5357E" w:rsidRPr="00D553A8" w:rsidRDefault="00D5357E" w:rsidP="00311E27">
      <w:pPr>
        <w:pStyle w:val="Heading2"/>
        <w:spacing w:line="276" w:lineRule="auto"/>
      </w:pPr>
      <w:bookmarkStart w:id="148" w:name="_Toc72250688"/>
      <w:bookmarkStart w:id="149" w:name="_Toc77029489"/>
      <w:bookmarkStart w:id="150" w:name="_Toc77079486"/>
      <w:bookmarkStart w:id="151" w:name="_Toc78192724"/>
      <w:bookmarkStart w:id="152" w:name="_Toc213777625"/>
      <w:r w:rsidRPr="00D553A8">
        <w:lastRenderedPageBreak/>
        <w:t>Reporting requirements for Wales</w:t>
      </w:r>
      <w:bookmarkEnd w:id="148"/>
      <w:bookmarkEnd w:id="149"/>
      <w:bookmarkEnd w:id="150"/>
      <w:bookmarkEnd w:id="151"/>
      <w:r w:rsidR="00AF2763" w:rsidRPr="00D553A8">
        <w:t xml:space="preserve"> </w:t>
      </w:r>
      <w:r w:rsidR="00A17218">
        <w:t>and Jersey</w:t>
      </w:r>
      <w:bookmarkEnd w:id="152"/>
    </w:p>
    <w:p w14:paraId="1E8079C7" w14:textId="2D2C2805" w:rsidR="00D5357E" w:rsidRPr="0010210F" w:rsidRDefault="00C64510" w:rsidP="00640C59">
      <w:pPr>
        <w:pStyle w:val="ListParagraph"/>
        <w:numPr>
          <w:ilvl w:val="0"/>
          <w:numId w:val="6"/>
        </w:numPr>
        <w:tabs>
          <w:tab w:val="left" w:pos="1701"/>
          <w:tab w:val="left" w:pos="3261"/>
        </w:tabs>
        <w:jc w:val="left"/>
        <w:rPr>
          <w:rFonts w:asciiTheme="minorHAnsi" w:hAnsiTheme="minorHAnsi"/>
        </w:rPr>
      </w:pPr>
      <w:r w:rsidRPr="0010210F">
        <w:rPr>
          <w:rFonts w:asciiTheme="minorHAnsi" w:hAnsiTheme="minorHAnsi"/>
        </w:rPr>
        <w:t xml:space="preserve">State of the nation </w:t>
      </w:r>
      <w:r w:rsidR="00D5357E" w:rsidRPr="0010210F">
        <w:rPr>
          <w:rFonts w:asciiTheme="minorHAnsi" w:hAnsiTheme="minorHAnsi"/>
        </w:rPr>
        <w:t>reports and other summary outputs should normally include data for</w:t>
      </w:r>
      <w:r w:rsidR="0010210F" w:rsidRPr="0010210F">
        <w:rPr>
          <w:rFonts w:asciiTheme="minorHAnsi" w:hAnsiTheme="minorHAnsi"/>
        </w:rPr>
        <w:t xml:space="preserve"> </w:t>
      </w:r>
      <w:r w:rsidR="00D5357E" w:rsidRPr="0010210F">
        <w:rPr>
          <w:rFonts w:asciiTheme="minorHAnsi" w:hAnsiTheme="minorHAnsi"/>
        </w:rPr>
        <w:t>England</w:t>
      </w:r>
      <w:r w:rsidR="0010210F" w:rsidRPr="0010210F">
        <w:rPr>
          <w:rFonts w:asciiTheme="minorHAnsi" w:hAnsiTheme="minorHAnsi"/>
        </w:rPr>
        <w:t xml:space="preserve">, </w:t>
      </w:r>
      <w:r w:rsidR="00D5357E" w:rsidRPr="0010210F">
        <w:rPr>
          <w:rFonts w:asciiTheme="minorHAnsi" w:hAnsiTheme="minorHAnsi"/>
        </w:rPr>
        <w:t xml:space="preserve">Wales </w:t>
      </w:r>
      <w:r w:rsidR="0010210F" w:rsidRPr="0010210F">
        <w:rPr>
          <w:rFonts w:asciiTheme="minorHAnsi" w:hAnsiTheme="minorHAnsi"/>
        </w:rPr>
        <w:t xml:space="preserve">and Jersey </w:t>
      </w:r>
      <w:r w:rsidR="00D5357E" w:rsidRPr="0010210F">
        <w:rPr>
          <w:rFonts w:asciiTheme="minorHAnsi" w:hAnsiTheme="minorHAnsi"/>
        </w:rPr>
        <w:t xml:space="preserve">so that </w:t>
      </w:r>
      <w:r w:rsidR="0010210F" w:rsidRPr="0010210F">
        <w:rPr>
          <w:rFonts w:asciiTheme="minorHAnsi" w:hAnsiTheme="minorHAnsi"/>
        </w:rPr>
        <w:t>all</w:t>
      </w:r>
      <w:r w:rsidR="00D5357E" w:rsidRPr="0010210F">
        <w:rPr>
          <w:rFonts w:asciiTheme="minorHAnsi" w:hAnsiTheme="minorHAnsi"/>
        </w:rPr>
        <w:t xml:space="preserve"> nations benefit from wider benchmarking; if there is a specific reason for a separate report of Wales-only data, this should be discussed and agreed with HQIP</w:t>
      </w:r>
    </w:p>
    <w:p w14:paraId="41CC8CFA" w14:textId="7FCEAF0B" w:rsidR="00D5357E" w:rsidRPr="00D156F7" w:rsidRDefault="00D5357E" w:rsidP="00640C59">
      <w:pPr>
        <w:pStyle w:val="ListParagraph"/>
        <w:numPr>
          <w:ilvl w:val="0"/>
          <w:numId w:val="6"/>
        </w:numPr>
        <w:tabs>
          <w:tab w:val="left" w:pos="1701"/>
          <w:tab w:val="left" w:pos="3261"/>
        </w:tabs>
        <w:jc w:val="left"/>
        <w:rPr>
          <w:rFonts w:asciiTheme="minorHAnsi" w:hAnsiTheme="minorHAnsi"/>
        </w:rPr>
      </w:pPr>
      <w:r w:rsidRPr="0010210F">
        <w:rPr>
          <w:rFonts w:asciiTheme="minorHAnsi" w:hAnsiTheme="minorHAnsi"/>
        </w:rPr>
        <w:t xml:space="preserve">Performance </w:t>
      </w:r>
      <w:r w:rsidR="00474E20" w:rsidRPr="0010210F">
        <w:rPr>
          <w:rFonts w:asciiTheme="minorHAnsi" w:hAnsiTheme="minorHAnsi"/>
        </w:rPr>
        <w:t>metric</w:t>
      </w:r>
      <w:r w:rsidRPr="0010210F">
        <w:rPr>
          <w:rFonts w:asciiTheme="minorHAnsi" w:hAnsiTheme="minorHAnsi"/>
        </w:rPr>
        <w:t xml:space="preserve">s and other measures that report a full cohort mean/median, should also report </w:t>
      </w:r>
      <w:r w:rsidRPr="00D156F7">
        <w:rPr>
          <w:rFonts w:asciiTheme="minorHAnsi" w:hAnsiTheme="minorHAnsi"/>
        </w:rPr>
        <w:t>England-only</w:t>
      </w:r>
      <w:r w:rsidR="0010210F" w:rsidRPr="00D156F7">
        <w:rPr>
          <w:rFonts w:asciiTheme="minorHAnsi" w:hAnsiTheme="minorHAnsi"/>
        </w:rPr>
        <w:t xml:space="preserve">, </w:t>
      </w:r>
      <w:r w:rsidRPr="00D156F7">
        <w:rPr>
          <w:rFonts w:asciiTheme="minorHAnsi" w:hAnsiTheme="minorHAnsi"/>
        </w:rPr>
        <w:t xml:space="preserve">Wales-only </w:t>
      </w:r>
      <w:r w:rsidR="0010210F" w:rsidRPr="00D156F7">
        <w:rPr>
          <w:rFonts w:asciiTheme="minorHAnsi" w:hAnsiTheme="minorHAnsi"/>
        </w:rPr>
        <w:t xml:space="preserve">and Jersey-only </w:t>
      </w:r>
      <w:r w:rsidRPr="00D156F7">
        <w:rPr>
          <w:rFonts w:asciiTheme="minorHAnsi" w:hAnsiTheme="minorHAnsi"/>
        </w:rPr>
        <w:t>figures wherever possible</w:t>
      </w:r>
    </w:p>
    <w:p w14:paraId="5F4929CF" w14:textId="77777777" w:rsidR="00D5357E" w:rsidRPr="00D156F7" w:rsidRDefault="00D5357E" w:rsidP="00640C59">
      <w:pPr>
        <w:pStyle w:val="ListParagraph"/>
        <w:numPr>
          <w:ilvl w:val="0"/>
          <w:numId w:val="6"/>
        </w:numPr>
        <w:tabs>
          <w:tab w:val="left" w:pos="1701"/>
          <w:tab w:val="left" w:pos="3261"/>
        </w:tabs>
        <w:jc w:val="left"/>
        <w:rPr>
          <w:rFonts w:asciiTheme="minorHAnsi" w:hAnsiTheme="minorHAnsi"/>
        </w:rPr>
      </w:pPr>
      <w:r w:rsidRPr="00D156F7">
        <w:rPr>
          <w:rFonts w:asciiTheme="minorHAnsi" w:hAnsiTheme="minorHAnsi"/>
        </w:rPr>
        <w:t>Where individual healthcare providers are benchmarked, English and Welsh providers should appear in a separate list or section of the table</w:t>
      </w:r>
    </w:p>
    <w:p w14:paraId="1E2903D4" w14:textId="5CEDBDC2" w:rsidR="0010210F" w:rsidRPr="00E931C2" w:rsidRDefault="0010210F" w:rsidP="00640C59">
      <w:pPr>
        <w:pStyle w:val="ListParagraph"/>
        <w:numPr>
          <w:ilvl w:val="0"/>
          <w:numId w:val="6"/>
        </w:numPr>
        <w:tabs>
          <w:tab w:val="left" w:pos="1701"/>
          <w:tab w:val="left" w:pos="3261"/>
        </w:tabs>
        <w:jc w:val="left"/>
        <w:rPr>
          <w:rFonts w:asciiTheme="minorHAnsi" w:hAnsiTheme="minorHAnsi"/>
        </w:rPr>
      </w:pPr>
      <w:bookmarkStart w:id="153" w:name="_Hlk213753393"/>
      <w:r w:rsidRPr="00E931C2">
        <w:rPr>
          <w:rFonts w:asciiTheme="minorHAnsi" w:hAnsiTheme="minorHAnsi"/>
        </w:rPr>
        <w:t>When reporting data for Jersey, the supplier must apply appropriate data suppression and aggregation to mitigate the risk of deductive disclosure arising from small population numbers, ensuring individuals and services cannot be identified in published outputs.</w:t>
      </w:r>
    </w:p>
    <w:bookmarkEnd w:id="153"/>
    <w:p w14:paraId="14D5E5FC" w14:textId="3079006B" w:rsidR="00D5357E" w:rsidRPr="0010210F" w:rsidRDefault="00D5357E" w:rsidP="00640C59">
      <w:pPr>
        <w:pStyle w:val="ListParagraph"/>
        <w:numPr>
          <w:ilvl w:val="0"/>
          <w:numId w:val="6"/>
        </w:numPr>
        <w:tabs>
          <w:tab w:val="left" w:pos="1701"/>
          <w:tab w:val="left" w:pos="3261"/>
        </w:tabs>
        <w:jc w:val="left"/>
        <w:rPr>
          <w:rFonts w:asciiTheme="minorHAnsi" w:hAnsiTheme="minorHAnsi"/>
        </w:rPr>
      </w:pPr>
      <w:r w:rsidRPr="00D156F7">
        <w:rPr>
          <w:rFonts w:asciiTheme="minorHAnsi" w:hAnsiTheme="minorHAnsi"/>
        </w:rPr>
        <w:t>Recommendations should be checked for their applicability in Wales</w:t>
      </w:r>
      <w:r w:rsidR="0010210F" w:rsidRPr="00D156F7">
        <w:rPr>
          <w:rFonts w:asciiTheme="minorHAnsi" w:hAnsiTheme="minorHAnsi"/>
        </w:rPr>
        <w:t xml:space="preserve"> and Jersey</w:t>
      </w:r>
      <w:r w:rsidRPr="00D156F7">
        <w:rPr>
          <w:rFonts w:asciiTheme="minorHAnsi" w:hAnsiTheme="minorHAnsi"/>
        </w:rPr>
        <w:t xml:space="preserve"> and be clea</w:t>
      </w:r>
      <w:r w:rsidR="00647CBB" w:rsidRPr="00D156F7">
        <w:rPr>
          <w:rFonts w:asciiTheme="minorHAnsi" w:hAnsiTheme="minorHAnsi"/>
        </w:rPr>
        <w:t xml:space="preserve">r if </w:t>
      </w:r>
      <w:r w:rsidR="00647CBB" w:rsidRPr="0010210F">
        <w:rPr>
          <w:rFonts w:asciiTheme="minorHAnsi" w:hAnsiTheme="minorHAnsi"/>
        </w:rPr>
        <w:t xml:space="preserve">applicable </w:t>
      </w:r>
      <w:r w:rsidR="0070563F" w:rsidRPr="0010210F">
        <w:rPr>
          <w:rFonts w:asciiTheme="minorHAnsi" w:hAnsiTheme="minorHAnsi"/>
        </w:rPr>
        <w:t xml:space="preserve">to </w:t>
      </w:r>
      <w:r w:rsidR="00647CBB" w:rsidRPr="0010210F">
        <w:rPr>
          <w:rFonts w:asciiTheme="minorHAnsi" w:hAnsiTheme="minorHAnsi"/>
        </w:rPr>
        <w:t>only one nation</w:t>
      </w:r>
    </w:p>
    <w:p w14:paraId="27F24C66" w14:textId="4A7A9305" w:rsidR="00E34909" w:rsidRDefault="00E34909" w:rsidP="006B1F92">
      <w:pPr>
        <w:pStyle w:val="Heading1"/>
      </w:pPr>
      <w:bookmarkStart w:id="154" w:name="_Toc213777626"/>
      <w:r>
        <w:t>Alignment with h</w:t>
      </w:r>
      <w:r w:rsidRPr="00E34909">
        <w:t xml:space="preserve">ealth policy and </w:t>
      </w:r>
      <w:r w:rsidR="00237C94">
        <w:t>wider</w:t>
      </w:r>
      <w:r w:rsidR="00237C94" w:rsidRPr="00E34909">
        <w:t xml:space="preserve"> </w:t>
      </w:r>
      <w:r w:rsidRPr="00E34909">
        <w:t>initiatives</w:t>
      </w:r>
      <w:bookmarkEnd w:id="154"/>
    </w:p>
    <w:p w14:paraId="675DC1BB" w14:textId="77777777" w:rsidR="00180D19" w:rsidRPr="00D553A8" w:rsidRDefault="00180D19" w:rsidP="00180D19">
      <w:pPr>
        <w:tabs>
          <w:tab w:val="left" w:pos="1701"/>
          <w:tab w:val="left" w:pos="3261"/>
        </w:tabs>
        <w:spacing w:line="276" w:lineRule="auto"/>
        <w:rPr>
          <w:rFonts w:asciiTheme="minorHAnsi" w:hAnsiTheme="minorHAnsi" w:cstheme="minorHAnsi"/>
        </w:rPr>
      </w:pPr>
      <w:r w:rsidRPr="004F4429">
        <w:t>HQIP requires that all audits ensure their project design and data items remain aligned with, and responsive to, contemporary health policy directives and initiatives.</w:t>
      </w:r>
    </w:p>
    <w:p w14:paraId="004B51E0" w14:textId="77777777" w:rsidR="00180D19" w:rsidRPr="00180D19" w:rsidRDefault="00180D19" w:rsidP="00264F5C"/>
    <w:p w14:paraId="21C9CBCD" w14:textId="3E1CE079" w:rsidR="00D5357E" w:rsidRPr="00D553A8" w:rsidRDefault="00D5357E" w:rsidP="00311E27">
      <w:pPr>
        <w:pStyle w:val="Heading2"/>
        <w:spacing w:line="276" w:lineRule="auto"/>
      </w:pPr>
      <w:bookmarkStart w:id="155" w:name="_Toc314476026"/>
      <w:bookmarkStart w:id="156" w:name="_Toc444609521"/>
      <w:bookmarkStart w:id="157" w:name="_Toc459385886"/>
      <w:bookmarkStart w:id="158" w:name="_Toc497211012"/>
      <w:bookmarkStart w:id="159" w:name="_Toc72250690"/>
      <w:bookmarkStart w:id="160" w:name="_Toc77029491"/>
      <w:bookmarkStart w:id="161" w:name="_Toc77079488"/>
      <w:bookmarkStart w:id="162" w:name="_Toc78192726"/>
      <w:bookmarkStart w:id="163" w:name="_Toc213777627"/>
      <w:r w:rsidRPr="00D553A8">
        <w:t xml:space="preserve">Incorporation in </w:t>
      </w:r>
      <w:r w:rsidR="00573322" w:rsidRPr="00D553A8">
        <w:t xml:space="preserve">national </w:t>
      </w:r>
      <w:r w:rsidR="00113AB5" w:rsidRPr="00D553A8">
        <w:t>outcomes/</w:t>
      </w:r>
      <w:r w:rsidR="00573322" w:rsidRPr="00D553A8">
        <w:t xml:space="preserve">indicator </w:t>
      </w:r>
      <w:r w:rsidRPr="00D553A8">
        <w:t>framework</w:t>
      </w:r>
      <w:r w:rsidR="00573322" w:rsidRPr="00D553A8">
        <w:t>s</w:t>
      </w:r>
      <w:r w:rsidR="007A5F3C" w:rsidRPr="00D553A8">
        <w:t xml:space="preserve"> and</w:t>
      </w:r>
      <w:r w:rsidRPr="00D553A8">
        <w:t xml:space="preserve"> </w:t>
      </w:r>
      <w:r w:rsidR="0079230C" w:rsidRPr="00D553A8">
        <w:t>Q</w:t>
      </w:r>
      <w:r w:rsidRPr="00D553A8">
        <w:t xml:space="preserve">uality </w:t>
      </w:r>
      <w:r w:rsidR="0079230C" w:rsidRPr="00D553A8">
        <w:t>A</w:t>
      </w:r>
      <w:r w:rsidRPr="00D553A8">
        <w:t>ccounts</w:t>
      </w:r>
      <w:bookmarkEnd w:id="155"/>
      <w:bookmarkEnd w:id="156"/>
      <w:bookmarkEnd w:id="157"/>
      <w:bookmarkEnd w:id="158"/>
      <w:bookmarkEnd w:id="159"/>
      <w:bookmarkEnd w:id="160"/>
      <w:bookmarkEnd w:id="161"/>
      <w:bookmarkEnd w:id="162"/>
      <w:bookmarkEnd w:id="163"/>
    </w:p>
    <w:p w14:paraId="559C3AC2" w14:textId="77777777" w:rsidR="00D5357E" w:rsidRPr="00E931C2" w:rsidRDefault="00D5357E" w:rsidP="00311E27">
      <w:pPr>
        <w:widowControl/>
        <w:tabs>
          <w:tab w:val="left" w:pos="1701"/>
          <w:tab w:val="left" w:pos="3261"/>
        </w:tabs>
        <w:autoSpaceDE/>
        <w:autoSpaceDN/>
        <w:spacing w:line="276" w:lineRule="auto"/>
        <w:contextualSpacing/>
        <w:rPr>
          <w:rFonts w:asciiTheme="minorHAnsi" w:hAnsiTheme="minorHAnsi" w:cstheme="minorHAnsi"/>
        </w:rPr>
      </w:pPr>
      <w:r w:rsidRPr="00E931C2">
        <w:rPr>
          <w:rFonts w:asciiTheme="minorHAnsi" w:hAnsiTheme="minorHAnsi" w:cstheme="minorHAnsi"/>
        </w:rPr>
        <w:t xml:space="preserve">The programme is expected to align where appropriate with </w:t>
      </w:r>
      <w:r w:rsidR="00113AB5" w:rsidRPr="00E931C2">
        <w:rPr>
          <w:rFonts w:asciiTheme="minorHAnsi" w:hAnsiTheme="minorHAnsi" w:cstheme="minorHAnsi"/>
        </w:rPr>
        <w:t>any national outcomes/</w:t>
      </w:r>
      <w:r w:rsidR="00573322" w:rsidRPr="00E931C2">
        <w:rPr>
          <w:rFonts w:asciiTheme="minorHAnsi" w:hAnsiTheme="minorHAnsi" w:cstheme="minorHAnsi"/>
        </w:rPr>
        <w:t xml:space="preserve">indicator frameworks </w:t>
      </w:r>
      <w:r w:rsidRPr="00E931C2">
        <w:rPr>
          <w:rFonts w:asciiTheme="minorHAnsi" w:hAnsiTheme="minorHAnsi" w:cstheme="minorHAnsi"/>
        </w:rPr>
        <w:t xml:space="preserve">including the collection of data for relevant </w:t>
      </w:r>
      <w:r w:rsidR="00573322" w:rsidRPr="00E931C2">
        <w:rPr>
          <w:rFonts w:asciiTheme="minorHAnsi" w:hAnsiTheme="minorHAnsi" w:cstheme="minorHAnsi"/>
        </w:rPr>
        <w:t>for f</w:t>
      </w:r>
      <w:r w:rsidRPr="00E931C2">
        <w:rPr>
          <w:rFonts w:asciiTheme="minorHAnsi" w:hAnsiTheme="minorHAnsi" w:cstheme="minorHAnsi"/>
        </w:rPr>
        <w:t xml:space="preserve">ramework </w:t>
      </w:r>
      <w:r w:rsidR="00573322" w:rsidRPr="00E931C2">
        <w:rPr>
          <w:rFonts w:asciiTheme="minorHAnsi" w:hAnsiTheme="minorHAnsi" w:cstheme="minorHAnsi"/>
        </w:rPr>
        <w:t>i</w:t>
      </w:r>
      <w:r w:rsidRPr="00E931C2">
        <w:rPr>
          <w:rFonts w:asciiTheme="minorHAnsi" w:hAnsiTheme="minorHAnsi" w:cstheme="minorHAnsi"/>
        </w:rPr>
        <w:t xml:space="preserve">ndicators and/or contributing to the development of new </w:t>
      </w:r>
      <w:r w:rsidR="00573322" w:rsidRPr="00E931C2">
        <w:rPr>
          <w:rFonts w:asciiTheme="minorHAnsi" w:hAnsiTheme="minorHAnsi" w:cstheme="minorHAnsi"/>
        </w:rPr>
        <w:t>f</w:t>
      </w:r>
      <w:r w:rsidRPr="00E931C2">
        <w:rPr>
          <w:rFonts w:asciiTheme="minorHAnsi" w:hAnsiTheme="minorHAnsi" w:cstheme="minorHAnsi"/>
        </w:rPr>
        <w:t xml:space="preserve">ramework </w:t>
      </w:r>
      <w:r w:rsidR="00573322" w:rsidRPr="00E931C2">
        <w:rPr>
          <w:rFonts w:asciiTheme="minorHAnsi" w:hAnsiTheme="minorHAnsi" w:cstheme="minorHAnsi"/>
        </w:rPr>
        <w:t>i</w:t>
      </w:r>
      <w:r w:rsidRPr="00E931C2">
        <w:rPr>
          <w:rFonts w:asciiTheme="minorHAnsi" w:hAnsiTheme="minorHAnsi" w:cstheme="minorHAnsi"/>
        </w:rPr>
        <w:t xml:space="preserve">ndicators if required. </w:t>
      </w:r>
    </w:p>
    <w:p w14:paraId="658702A9" w14:textId="77777777" w:rsidR="00D5357E" w:rsidRPr="00E931C2" w:rsidRDefault="00D5357E" w:rsidP="00311E27">
      <w:pPr>
        <w:tabs>
          <w:tab w:val="left" w:pos="1701"/>
          <w:tab w:val="left" w:pos="3261"/>
        </w:tabs>
        <w:spacing w:line="276" w:lineRule="auto"/>
        <w:rPr>
          <w:rFonts w:asciiTheme="minorHAnsi" w:hAnsiTheme="minorHAnsi" w:cstheme="minorHAnsi"/>
        </w:rPr>
      </w:pPr>
    </w:p>
    <w:p w14:paraId="5D0CBA0F" w14:textId="1FA9CBB7" w:rsidR="00D156F7" w:rsidRPr="00E931C2" w:rsidRDefault="00D156F7" w:rsidP="00E931C2">
      <w:pPr>
        <w:widowControl/>
        <w:tabs>
          <w:tab w:val="left" w:pos="1701"/>
          <w:tab w:val="left" w:pos="3261"/>
        </w:tabs>
        <w:autoSpaceDE/>
        <w:autoSpaceDN/>
        <w:spacing w:line="276" w:lineRule="auto"/>
        <w:contextualSpacing/>
        <w:rPr>
          <w:rFonts w:asciiTheme="minorHAnsi" w:hAnsiTheme="minorHAnsi" w:cstheme="minorHAnsi"/>
        </w:rPr>
      </w:pPr>
      <w:bookmarkStart w:id="164" w:name="_Hlk215650865"/>
      <w:r w:rsidRPr="00E931C2">
        <w:rPr>
          <w:rFonts w:asciiTheme="minorHAnsi" w:hAnsiTheme="minorHAnsi" w:cstheme="minorHAnsi"/>
        </w:rPr>
        <w:t xml:space="preserve">Currently the Epilepsy audit provides </w:t>
      </w:r>
      <w:r w:rsidR="001957B3" w:rsidRPr="00E931C2">
        <w:rPr>
          <w:rFonts w:asciiTheme="minorHAnsi" w:hAnsiTheme="minorHAnsi" w:cstheme="minorHAnsi"/>
        </w:rPr>
        <w:t xml:space="preserve">regular data </w:t>
      </w:r>
      <w:r w:rsidR="001957B3">
        <w:rPr>
          <w:rFonts w:asciiTheme="minorHAnsi" w:hAnsiTheme="minorHAnsi" w:cstheme="minorHAnsi"/>
        </w:rPr>
        <w:t xml:space="preserve">on an agreed set of metrics </w:t>
      </w:r>
      <w:r w:rsidR="001957B3" w:rsidRPr="00E931C2">
        <w:rPr>
          <w:rFonts w:asciiTheme="minorHAnsi" w:hAnsiTheme="minorHAnsi" w:cstheme="minorHAnsi"/>
        </w:rPr>
        <w:t>to the NHS England Children and Young People Transformation Programme Epilepsy Oversight Group</w:t>
      </w:r>
      <w:r w:rsidR="00007E64" w:rsidRPr="00E931C2">
        <w:rPr>
          <w:rFonts w:asciiTheme="minorHAnsi" w:hAnsiTheme="minorHAnsi" w:cstheme="minorHAnsi"/>
        </w:rPr>
        <w:t xml:space="preserve">. It is </w:t>
      </w:r>
      <w:r w:rsidR="00007E64">
        <w:rPr>
          <w:rFonts w:asciiTheme="minorHAnsi" w:hAnsiTheme="minorHAnsi" w:cstheme="minorHAnsi"/>
        </w:rPr>
        <w:t>expected that a similar data flow to a national oversight group will</w:t>
      </w:r>
      <w:r w:rsidR="001957B3" w:rsidRPr="00E931C2">
        <w:rPr>
          <w:rFonts w:asciiTheme="minorHAnsi" w:hAnsiTheme="minorHAnsi" w:cstheme="minorHAnsi"/>
        </w:rPr>
        <w:t xml:space="preserve"> continue under this new contract.</w:t>
      </w:r>
    </w:p>
    <w:bookmarkEnd w:id="164"/>
    <w:p w14:paraId="3BFF3E7A" w14:textId="77777777" w:rsidR="001957B3" w:rsidRPr="00E931C2" w:rsidRDefault="001957B3" w:rsidP="00311E27">
      <w:pPr>
        <w:tabs>
          <w:tab w:val="left" w:pos="1701"/>
          <w:tab w:val="left" w:pos="3261"/>
        </w:tabs>
        <w:spacing w:line="276" w:lineRule="auto"/>
        <w:rPr>
          <w:rFonts w:asciiTheme="minorHAnsi" w:hAnsiTheme="minorHAnsi" w:cstheme="minorHAnsi"/>
        </w:rPr>
      </w:pPr>
    </w:p>
    <w:p w14:paraId="077DF39A" w14:textId="77777777" w:rsidR="00D5357E" w:rsidRPr="00D553A8" w:rsidRDefault="00D5357E" w:rsidP="00311E27">
      <w:pPr>
        <w:widowControl/>
        <w:tabs>
          <w:tab w:val="left" w:pos="1701"/>
          <w:tab w:val="left" w:pos="3261"/>
        </w:tabs>
        <w:autoSpaceDE/>
        <w:autoSpaceDN/>
        <w:spacing w:line="276" w:lineRule="auto"/>
        <w:contextualSpacing/>
      </w:pPr>
      <w:r w:rsidRPr="00D553A8">
        <w:t xml:space="preserve">Where relevant, projects may be requested to flow data to support other </w:t>
      </w:r>
      <w:r w:rsidR="00C57A51" w:rsidRPr="00D553A8">
        <w:t>publicly</w:t>
      </w:r>
      <w:r w:rsidRPr="00D553A8">
        <w:t xml:space="preserve"> funded reporting mechanisms, such as data dashboards, to support commissioning and to gather information on quality and outcomes from a variety of sources.</w:t>
      </w:r>
    </w:p>
    <w:p w14:paraId="05F70522" w14:textId="77777777" w:rsidR="00D5357E" w:rsidRPr="00D553A8" w:rsidRDefault="00D5357E" w:rsidP="00311E27">
      <w:pPr>
        <w:tabs>
          <w:tab w:val="left" w:pos="1701"/>
          <w:tab w:val="left" w:pos="3261"/>
        </w:tabs>
        <w:spacing w:line="276" w:lineRule="auto"/>
        <w:contextualSpacing/>
      </w:pPr>
    </w:p>
    <w:p w14:paraId="708CA6F1" w14:textId="35829797" w:rsidR="00D5357E" w:rsidRPr="00D553A8" w:rsidRDefault="00D5357E" w:rsidP="00311E27">
      <w:pPr>
        <w:widowControl/>
        <w:tabs>
          <w:tab w:val="left" w:pos="1701"/>
          <w:tab w:val="left" w:pos="3261"/>
        </w:tabs>
        <w:autoSpaceDE/>
        <w:autoSpaceDN/>
        <w:spacing w:line="276" w:lineRule="auto"/>
        <w:contextualSpacing/>
      </w:pPr>
      <w:r w:rsidRPr="00D553A8">
        <w:t xml:space="preserve">In addition, participation rates and patient recruitment rates (at the level of granularity by which they appear in the annual reports) will be made available to HQIP in accordance with the Standard </w:t>
      </w:r>
      <w:r w:rsidR="00916F82" w:rsidRPr="00D553A8">
        <w:t>reporting p</w:t>
      </w:r>
      <w:r w:rsidRPr="00D553A8">
        <w:t>rocedure to facilitate inclusion in</w:t>
      </w:r>
      <w:r w:rsidR="00F85E14" w:rsidRPr="00D553A8">
        <w:t xml:space="preserve"> NHS</w:t>
      </w:r>
      <w:r w:rsidRPr="00D553A8">
        <w:t xml:space="preserve"> Quality Accounts. </w:t>
      </w:r>
    </w:p>
    <w:p w14:paraId="5EED513A" w14:textId="77777777" w:rsidR="00D5357E" w:rsidRPr="00D553A8" w:rsidRDefault="00D5357E" w:rsidP="00311E27">
      <w:pPr>
        <w:spacing w:line="276" w:lineRule="auto"/>
      </w:pPr>
      <w:bookmarkStart w:id="165" w:name="_Toc314476027"/>
      <w:bookmarkStart w:id="166" w:name="_Toc444609522"/>
      <w:bookmarkStart w:id="167" w:name="_Toc459385887"/>
      <w:bookmarkStart w:id="168" w:name="_Toc497211013"/>
    </w:p>
    <w:p w14:paraId="51520AA4" w14:textId="5B66F4E4" w:rsidR="00D5357E" w:rsidRPr="00D553A8" w:rsidRDefault="00D5357E" w:rsidP="00311E27">
      <w:pPr>
        <w:pStyle w:val="Heading2"/>
        <w:spacing w:line="276" w:lineRule="auto"/>
      </w:pPr>
      <w:bookmarkStart w:id="169" w:name="_Toc72250691"/>
      <w:bookmarkStart w:id="170" w:name="_Toc77029492"/>
      <w:bookmarkStart w:id="171" w:name="_Toc77079489"/>
      <w:bookmarkStart w:id="172" w:name="_Toc78192727"/>
      <w:bookmarkStart w:id="173" w:name="_Toc213777628"/>
      <w:r w:rsidRPr="00D553A8">
        <w:t xml:space="preserve">Synergies between the project and other </w:t>
      </w:r>
      <w:r w:rsidR="00237C94">
        <w:t>wider</w:t>
      </w:r>
      <w:r w:rsidR="00237C94" w:rsidRPr="00D553A8">
        <w:t xml:space="preserve"> </w:t>
      </w:r>
      <w:r w:rsidRPr="00D553A8">
        <w:t>initiatives</w:t>
      </w:r>
      <w:bookmarkEnd w:id="169"/>
      <w:bookmarkEnd w:id="170"/>
      <w:bookmarkEnd w:id="171"/>
      <w:bookmarkEnd w:id="172"/>
      <w:bookmarkEnd w:id="173"/>
    </w:p>
    <w:p w14:paraId="536F16FC" w14:textId="0162E6BF" w:rsidR="00D5357E" w:rsidRPr="00D553A8" w:rsidRDefault="00D5357E" w:rsidP="00311E27">
      <w:pPr>
        <w:spacing w:line="276" w:lineRule="auto"/>
      </w:pPr>
      <w:r w:rsidRPr="00D553A8">
        <w:t xml:space="preserve">Through the provision of analysed data, information and support, and in accordance with any relevant </w:t>
      </w:r>
      <w:r w:rsidR="00A0526A" w:rsidRPr="00D553A8">
        <w:t xml:space="preserve">information governance </w:t>
      </w:r>
      <w:r w:rsidRPr="00D553A8">
        <w:t>permissions, it is expected that the project will directly contribute to</w:t>
      </w:r>
      <w:r w:rsidR="00A0526A" w:rsidRPr="00D553A8">
        <w:t xml:space="preserve"> the following initiatives</w:t>
      </w:r>
      <w:r w:rsidRPr="00D553A8">
        <w:t>:</w:t>
      </w:r>
    </w:p>
    <w:p w14:paraId="67D1A07B" w14:textId="77777777" w:rsidR="00D5357E" w:rsidRPr="00D553A8" w:rsidRDefault="00D5357E" w:rsidP="00311E27">
      <w:pPr>
        <w:spacing w:line="276" w:lineRule="auto"/>
      </w:pPr>
    </w:p>
    <w:p w14:paraId="70066DD7" w14:textId="79B64F98" w:rsidR="00BB2F60" w:rsidRPr="00D553A8" w:rsidRDefault="00BB2F60" w:rsidP="00311E27">
      <w:pPr>
        <w:pStyle w:val="Heading3"/>
        <w:spacing w:before="0" w:line="276" w:lineRule="auto"/>
      </w:pPr>
      <w:bookmarkStart w:id="174" w:name="_Toc213769873"/>
      <w:bookmarkStart w:id="175" w:name="_Toc213777629"/>
      <w:r w:rsidRPr="00D553A8">
        <w:t xml:space="preserve">National Clinical </w:t>
      </w:r>
      <w:r w:rsidR="0070563F" w:rsidRPr="00D553A8">
        <w:t xml:space="preserve">Audit </w:t>
      </w:r>
      <w:r w:rsidRPr="00D553A8">
        <w:t>Benchmarking</w:t>
      </w:r>
      <w:bookmarkEnd w:id="174"/>
      <w:bookmarkEnd w:id="175"/>
    </w:p>
    <w:p w14:paraId="41B0C52B" w14:textId="356526D9" w:rsidR="00BB2F60" w:rsidRPr="00D553A8" w:rsidRDefault="00BB2F60" w:rsidP="00311E27">
      <w:pPr>
        <w:spacing w:line="276" w:lineRule="auto"/>
      </w:pPr>
      <w:r w:rsidRPr="00D553A8">
        <w:t xml:space="preserve">The supplier must lead the National Clinical </w:t>
      </w:r>
      <w:r w:rsidR="0070563F" w:rsidRPr="00D553A8">
        <w:t xml:space="preserve">Audit </w:t>
      </w:r>
      <w:r w:rsidRPr="00D553A8">
        <w:t>Benchmarking for their project, submitting relevant data,</w:t>
      </w:r>
      <w:r w:rsidR="00625B05" w:rsidRPr="00D553A8">
        <w:t xml:space="preserve"> and</w:t>
      </w:r>
      <w:r w:rsidRPr="00D553A8">
        <w:t xml:space="preserve"> working directly with HQIP and CQC:</w:t>
      </w:r>
      <w:r w:rsidR="003C5C41">
        <w:t xml:space="preserve"> </w:t>
      </w:r>
      <w:hyperlink r:id="rId26" w:history="1">
        <w:r w:rsidR="003C5C41" w:rsidRPr="003C5C41">
          <w:rPr>
            <w:rStyle w:val="Hyperlink"/>
            <w:rFonts w:cs="Calibri"/>
          </w:rPr>
          <w:t>National Clinical Audit Benchmarking (NCAB) – HQIP</w:t>
        </w:r>
      </w:hyperlink>
    </w:p>
    <w:p w14:paraId="6095147C" w14:textId="77777777" w:rsidR="00BB2F60" w:rsidRPr="00D553A8" w:rsidRDefault="00AF2763" w:rsidP="00311E27">
      <w:pPr>
        <w:pStyle w:val="Heading3"/>
        <w:spacing w:before="0" w:line="276" w:lineRule="auto"/>
      </w:pPr>
      <w:bookmarkStart w:id="176" w:name="_Toc213769874"/>
      <w:bookmarkStart w:id="177" w:name="_Toc213777630"/>
      <w:r w:rsidRPr="00D553A8">
        <w:lastRenderedPageBreak/>
        <w:t>Getting I</w:t>
      </w:r>
      <w:r w:rsidR="00D5357E" w:rsidRPr="00D553A8">
        <w:t>t Right First Time (GIRFT)</w:t>
      </w:r>
      <w:bookmarkEnd w:id="176"/>
      <w:bookmarkEnd w:id="177"/>
    </w:p>
    <w:p w14:paraId="523FB32F" w14:textId="03BDD103" w:rsidR="00BB2F60" w:rsidRPr="00D553A8" w:rsidRDefault="00BB2F60" w:rsidP="00311E27">
      <w:pPr>
        <w:spacing w:line="276" w:lineRule="auto"/>
      </w:pPr>
      <w:r w:rsidRPr="00D553A8">
        <w:t xml:space="preserve">Where the audit topic is also a topic included in </w:t>
      </w:r>
      <w:hyperlink r:id="rId27" w:history="1">
        <w:r w:rsidRPr="00D553A8">
          <w:rPr>
            <w:rStyle w:val="Hyperlink"/>
          </w:rPr>
          <w:t>Getting It Right First Time (GIRFT)</w:t>
        </w:r>
      </w:hyperlink>
      <w:r w:rsidRPr="00D553A8">
        <w:t>, the supplier is expected to work collaboratively to help align</w:t>
      </w:r>
      <w:r w:rsidR="00EB3F2B" w:rsidRPr="00D553A8">
        <w:t xml:space="preserve"> quality</w:t>
      </w:r>
      <w:r w:rsidRPr="00D553A8">
        <w:t xml:space="preserve"> improvement approaches and enable sharing of relevant data for GIRFT reports (</w:t>
      </w:r>
      <w:r w:rsidR="00703B70" w:rsidRPr="00703B70">
        <w:t>subject to information governance permissions and</w:t>
      </w:r>
      <w:r w:rsidRPr="00D553A8">
        <w:t xml:space="preserve"> HQIP approval).</w:t>
      </w:r>
    </w:p>
    <w:p w14:paraId="70C9FF9E" w14:textId="77777777" w:rsidR="00894F1D" w:rsidRPr="00D553A8" w:rsidRDefault="00894F1D" w:rsidP="00311E27">
      <w:pPr>
        <w:spacing w:line="276" w:lineRule="auto"/>
      </w:pPr>
    </w:p>
    <w:p w14:paraId="10603FAC" w14:textId="053B3A0D" w:rsidR="00D5357E" w:rsidRPr="00D553A8" w:rsidRDefault="00D5357E" w:rsidP="00311E27">
      <w:pPr>
        <w:pStyle w:val="Heading3"/>
        <w:spacing w:before="0" w:line="276" w:lineRule="auto"/>
      </w:pPr>
      <w:bookmarkStart w:id="178" w:name="_Toc213769875"/>
      <w:bookmarkStart w:id="179" w:name="_Toc213777631"/>
      <w:r w:rsidRPr="00D553A8">
        <w:t>Model Health System:</w:t>
      </w:r>
      <w:bookmarkEnd w:id="178"/>
      <w:bookmarkEnd w:id="179"/>
      <w:r w:rsidRPr="00D553A8">
        <w:t xml:space="preserve"> </w:t>
      </w:r>
    </w:p>
    <w:p w14:paraId="17B4EC5F" w14:textId="25B52901" w:rsidR="00D5357E" w:rsidRPr="00D553A8" w:rsidRDefault="009C2A85" w:rsidP="00311E27">
      <w:pPr>
        <w:spacing w:line="276" w:lineRule="auto"/>
      </w:pPr>
      <w:r w:rsidRPr="009C2A85">
        <w:t>The supplier is expected to work collaboratively at HQIP’s request to include data</w:t>
      </w:r>
      <w:r>
        <w:t xml:space="preserve"> </w:t>
      </w:r>
      <w:r w:rsidR="00D5357E" w:rsidRPr="00D553A8">
        <w:t xml:space="preserve">in the </w:t>
      </w:r>
      <w:hyperlink r:id="rId28" w:history="1">
        <w:r w:rsidR="00D5357E" w:rsidRPr="00D553A8">
          <w:rPr>
            <w:rStyle w:val="Hyperlink"/>
            <w:rFonts w:cs="Calibri"/>
          </w:rPr>
          <w:t>Model Health System</w:t>
        </w:r>
      </w:hyperlink>
      <w:r w:rsidR="00D5357E" w:rsidRPr="00D553A8">
        <w:t xml:space="preserve"> dashboards</w:t>
      </w:r>
      <w:r>
        <w:t xml:space="preserve">, </w:t>
      </w:r>
      <w:r w:rsidR="005E3A1B" w:rsidRPr="00D553A8">
        <w:rPr>
          <w:rFonts w:eastAsia="Times New Roman"/>
        </w:rPr>
        <w:t xml:space="preserve">and any other products deemed appropriate by </w:t>
      </w:r>
      <w:r>
        <w:rPr>
          <w:rFonts w:eastAsia="Times New Roman"/>
        </w:rPr>
        <w:t xml:space="preserve">funders, to </w:t>
      </w:r>
      <w:r w:rsidRPr="00D553A8">
        <w:t>increase the reach and impact of the data</w:t>
      </w:r>
      <w:r w:rsidR="00D5357E" w:rsidRPr="00D553A8">
        <w:t>.</w:t>
      </w:r>
    </w:p>
    <w:p w14:paraId="40BD7217" w14:textId="77777777" w:rsidR="00894F1D" w:rsidRPr="00D553A8" w:rsidRDefault="00894F1D" w:rsidP="00311E27">
      <w:pPr>
        <w:spacing w:line="276" w:lineRule="auto"/>
      </w:pPr>
    </w:p>
    <w:p w14:paraId="3ECEA749" w14:textId="77777777" w:rsidR="007A5F3C" w:rsidRPr="00D553A8" w:rsidRDefault="007A5F3C" w:rsidP="00311E27">
      <w:pPr>
        <w:pStyle w:val="Heading3"/>
        <w:spacing w:before="0" w:line="276" w:lineRule="auto"/>
      </w:pPr>
      <w:bookmarkStart w:id="180" w:name="_Toc213769876"/>
      <w:bookmarkStart w:id="181" w:name="_Toc213777632"/>
      <w:r w:rsidRPr="00D553A8">
        <w:t>Data.gov.uk</w:t>
      </w:r>
      <w:bookmarkEnd w:id="180"/>
      <w:bookmarkEnd w:id="181"/>
    </w:p>
    <w:p w14:paraId="18F46793" w14:textId="1D3C5D2B" w:rsidR="00D5357E" w:rsidRPr="00D553A8" w:rsidRDefault="007A5F3C" w:rsidP="00311E27">
      <w:pPr>
        <w:spacing w:line="276" w:lineRule="auto"/>
      </w:pPr>
      <w:r w:rsidRPr="00D553A8">
        <w:t xml:space="preserve">CSV versions of </w:t>
      </w:r>
      <w:r w:rsidR="00CB2024" w:rsidRPr="00D553A8">
        <w:t xml:space="preserve">audit </w:t>
      </w:r>
      <w:r w:rsidRPr="00D553A8">
        <w:t>data, once published, are required to be made available via the supplier’s website under the government’s transparency agenda for inclusion on the Data.gov.uk website.</w:t>
      </w:r>
    </w:p>
    <w:p w14:paraId="733633E3" w14:textId="77777777" w:rsidR="007A5F3C" w:rsidRPr="00D553A8" w:rsidRDefault="007A5F3C" w:rsidP="00311E27">
      <w:pPr>
        <w:spacing w:line="276" w:lineRule="auto"/>
      </w:pPr>
    </w:p>
    <w:p w14:paraId="0171823B" w14:textId="77777777" w:rsidR="00D5357E" w:rsidRPr="00D553A8" w:rsidRDefault="00D5357E" w:rsidP="00311E27">
      <w:pPr>
        <w:pStyle w:val="Heading2"/>
        <w:spacing w:line="276" w:lineRule="auto"/>
      </w:pPr>
      <w:bookmarkStart w:id="182" w:name="_Toc72250692"/>
      <w:bookmarkStart w:id="183" w:name="_Toc77029493"/>
      <w:bookmarkStart w:id="184" w:name="_Toc77079490"/>
      <w:bookmarkStart w:id="185" w:name="_Toc78192728"/>
      <w:bookmarkStart w:id="186" w:name="_Toc213777633"/>
      <w:r w:rsidRPr="00D553A8">
        <w:t>Revalidation of professionals</w:t>
      </w:r>
      <w:bookmarkEnd w:id="165"/>
      <w:bookmarkEnd w:id="166"/>
      <w:bookmarkEnd w:id="167"/>
      <w:bookmarkEnd w:id="168"/>
      <w:bookmarkEnd w:id="182"/>
      <w:bookmarkEnd w:id="183"/>
      <w:bookmarkEnd w:id="184"/>
      <w:bookmarkEnd w:id="185"/>
      <w:bookmarkEnd w:id="186"/>
    </w:p>
    <w:p w14:paraId="7A9DC129" w14:textId="77777777" w:rsidR="00D5357E" w:rsidRPr="00D553A8" w:rsidRDefault="00D5357E" w:rsidP="00311E27">
      <w:pPr>
        <w:tabs>
          <w:tab w:val="left" w:pos="1701"/>
          <w:tab w:val="left" w:pos="3261"/>
        </w:tabs>
        <w:spacing w:line="276" w:lineRule="auto"/>
      </w:pPr>
      <w:r w:rsidRPr="00D553A8">
        <w:t xml:space="preserve">HQIP supports the expectation that individual clinicians can use project data as part of their revalidation portfolios. </w:t>
      </w:r>
    </w:p>
    <w:p w14:paraId="110836C9" w14:textId="77777777" w:rsidR="00D5357E" w:rsidRPr="00D553A8" w:rsidRDefault="00D5357E" w:rsidP="00311E27">
      <w:pPr>
        <w:tabs>
          <w:tab w:val="left" w:pos="1701"/>
          <w:tab w:val="left" w:pos="3261"/>
        </w:tabs>
        <w:spacing w:line="276" w:lineRule="auto"/>
      </w:pPr>
    </w:p>
    <w:p w14:paraId="032A89D3" w14:textId="77777777" w:rsidR="00D5357E" w:rsidRPr="00D553A8" w:rsidRDefault="00D5357E" w:rsidP="00311E27">
      <w:pPr>
        <w:pStyle w:val="Heading2"/>
        <w:spacing w:line="276" w:lineRule="auto"/>
      </w:pPr>
      <w:bookmarkStart w:id="187" w:name="_Toc314476028"/>
      <w:bookmarkStart w:id="188" w:name="_Toc444609523"/>
      <w:bookmarkStart w:id="189" w:name="_Toc459385888"/>
      <w:bookmarkStart w:id="190" w:name="_Toc497211014"/>
      <w:bookmarkStart w:id="191" w:name="_Toc72250693"/>
      <w:bookmarkStart w:id="192" w:name="_Toc77029494"/>
      <w:bookmarkStart w:id="193" w:name="_Toc77079491"/>
      <w:bookmarkStart w:id="194" w:name="_Toc78192729"/>
      <w:bookmarkStart w:id="195" w:name="_Toc213777634"/>
      <w:r w:rsidRPr="00D553A8">
        <w:t>Regulation of organisations</w:t>
      </w:r>
      <w:bookmarkEnd w:id="187"/>
      <w:bookmarkEnd w:id="188"/>
      <w:bookmarkEnd w:id="189"/>
      <w:bookmarkEnd w:id="190"/>
      <w:bookmarkEnd w:id="191"/>
      <w:bookmarkEnd w:id="192"/>
      <w:bookmarkEnd w:id="193"/>
      <w:bookmarkEnd w:id="194"/>
      <w:bookmarkEnd w:id="195"/>
    </w:p>
    <w:p w14:paraId="11F61E19" w14:textId="1E0B5962" w:rsidR="00D5357E" w:rsidRPr="00D553A8" w:rsidRDefault="00D5357E" w:rsidP="00311E27">
      <w:pPr>
        <w:tabs>
          <w:tab w:val="left" w:pos="1701"/>
          <w:tab w:val="left" w:pos="3261"/>
        </w:tabs>
        <w:spacing w:line="276" w:lineRule="auto"/>
      </w:pPr>
      <w:r w:rsidRPr="00D553A8">
        <w:t xml:space="preserve">The project supplier will be required to make available aggregate data for regulatory and improvement bodies </w:t>
      </w:r>
      <w:r w:rsidR="00CB2024" w:rsidRPr="00D553A8">
        <w:t>(</w:t>
      </w:r>
      <w:r w:rsidRPr="00D553A8">
        <w:t xml:space="preserve">e.g. The Care Quality Commission, </w:t>
      </w:r>
      <w:r w:rsidR="003D764C" w:rsidRPr="00D553A8">
        <w:t xml:space="preserve">and </w:t>
      </w:r>
      <w:r w:rsidRPr="00D553A8">
        <w:t>Healthcare Inspectorate Wales</w:t>
      </w:r>
      <w:r w:rsidR="00CB2024" w:rsidRPr="00D553A8">
        <w:t>)</w:t>
      </w:r>
      <w:r w:rsidRPr="00D553A8">
        <w:t xml:space="preserve"> subject to appropriate data sharing agreements. The supplier needs to take account of the methods by which regulators</w:t>
      </w:r>
      <w:r w:rsidR="00CB2024" w:rsidRPr="00D553A8">
        <w:t xml:space="preserve"> use </w:t>
      </w:r>
      <w:r w:rsidRPr="00D553A8">
        <w:t>the project outputs to deliver on their obligations.</w:t>
      </w:r>
    </w:p>
    <w:p w14:paraId="29ED72A3" w14:textId="77777777" w:rsidR="00D5357E" w:rsidRPr="00D553A8" w:rsidRDefault="00D5357E" w:rsidP="00311E27">
      <w:pPr>
        <w:tabs>
          <w:tab w:val="left" w:pos="1701"/>
          <w:tab w:val="left" w:pos="3261"/>
        </w:tabs>
        <w:spacing w:line="276" w:lineRule="auto"/>
      </w:pPr>
    </w:p>
    <w:p w14:paraId="1553A19F" w14:textId="77777777" w:rsidR="00D5357E" w:rsidRPr="00D553A8" w:rsidRDefault="00D5357E" w:rsidP="00311E27">
      <w:pPr>
        <w:pStyle w:val="Heading2"/>
        <w:spacing w:line="276" w:lineRule="auto"/>
      </w:pPr>
      <w:bookmarkStart w:id="196" w:name="_Toc314476029"/>
      <w:bookmarkStart w:id="197" w:name="_Toc444609524"/>
      <w:bookmarkStart w:id="198" w:name="_Toc459385889"/>
      <w:bookmarkStart w:id="199" w:name="_Toc497211015"/>
      <w:bookmarkStart w:id="200" w:name="_Toc72250694"/>
      <w:bookmarkStart w:id="201" w:name="_Toc77029495"/>
      <w:bookmarkStart w:id="202" w:name="_Toc77079492"/>
      <w:bookmarkStart w:id="203" w:name="_Toc78192730"/>
      <w:bookmarkStart w:id="204" w:name="_Toc213777635"/>
      <w:r w:rsidRPr="00D553A8">
        <w:t>International comparisons</w:t>
      </w:r>
      <w:bookmarkEnd w:id="196"/>
      <w:bookmarkEnd w:id="197"/>
      <w:bookmarkEnd w:id="198"/>
      <w:bookmarkEnd w:id="199"/>
      <w:bookmarkEnd w:id="200"/>
      <w:bookmarkEnd w:id="201"/>
      <w:bookmarkEnd w:id="202"/>
      <w:bookmarkEnd w:id="203"/>
      <w:bookmarkEnd w:id="204"/>
    </w:p>
    <w:p w14:paraId="446C1266" w14:textId="1525AD58" w:rsidR="00D5357E" w:rsidRPr="00D553A8" w:rsidRDefault="00D5357E" w:rsidP="00311E27">
      <w:pPr>
        <w:tabs>
          <w:tab w:val="left" w:pos="1701"/>
          <w:tab w:val="left" w:pos="3261"/>
        </w:tabs>
        <w:spacing w:line="276" w:lineRule="auto"/>
      </w:pPr>
      <w:r w:rsidRPr="00D553A8">
        <w:t xml:space="preserve">It is expected that the supplier will </w:t>
      </w:r>
      <w:proofErr w:type="gramStart"/>
      <w:r w:rsidRPr="00D553A8">
        <w:t>take into account</w:t>
      </w:r>
      <w:proofErr w:type="gramEnd"/>
      <w:r w:rsidRPr="00D553A8">
        <w:t xml:space="preserve"> the potential for ongoing international comparisons of care quality and form appropriate links with those developing and leading relevant overseas projects.</w:t>
      </w:r>
    </w:p>
    <w:p w14:paraId="010AB165" w14:textId="77777777" w:rsidR="00D5357E" w:rsidRPr="00D553A8" w:rsidRDefault="00D5357E" w:rsidP="00311E27">
      <w:pPr>
        <w:tabs>
          <w:tab w:val="left" w:pos="1701"/>
          <w:tab w:val="left" w:pos="3261"/>
        </w:tabs>
        <w:spacing w:line="276" w:lineRule="auto"/>
      </w:pPr>
    </w:p>
    <w:p w14:paraId="1244171B" w14:textId="784FAA30" w:rsidR="00D5357E" w:rsidRPr="00D553A8" w:rsidRDefault="002610D0" w:rsidP="00311E27">
      <w:pPr>
        <w:pStyle w:val="Heading2"/>
        <w:spacing w:line="276" w:lineRule="auto"/>
      </w:pPr>
      <w:bookmarkStart w:id="205" w:name="_Toc314476030"/>
      <w:bookmarkStart w:id="206" w:name="_Toc444609525"/>
      <w:bookmarkStart w:id="207" w:name="_Toc459385890"/>
      <w:bookmarkStart w:id="208" w:name="_Toc497211016"/>
      <w:bookmarkStart w:id="209" w:name="_Toc72250695"/>
      <w:bookmarkStart w:id="210" w:name="_Toc77029496"/>
      <w:bookmarkStart w:id="211" w:name="_Toc77079493"/>
      <w:bookmarkStart w:id="212" w:name="_Toc78192731"/>
      <w:bookmarkStart w:id="213" w:name="_Toc213777636"/>
      <w:r>
        <w:t>Secondary use of NCAPOP data for public benefit including r</w:t>
      </w:r>
      <w:r w:rsidR="00D5357E" w:rsidRPr="00D553A8">
        <w:t>esearch</w:t>
      </w:r>
      <w:bookmarkEnd w:id="205"/>
      <w:bookmarkEnd w:id="206"/>
      <w:bookmarkEnd w:id="207"/>
      <w:bookmarkEnd w:id="208"/>
      <w:bookmarkEnd w:id="209"/>
      <w:bookmarkEnd w:id="210"/>
      <w:bookmarkEnd w:id="211"/>
      <w:bookmarkEnd w:id="212"/>
      <w:bookmarkEnd w:id="213"/>
    </w:p>
    <w:p w14:paraId="1D4CE60F" w14:textId="17CDB303" w:rsidR="00AE661B" w:rsidRPr="00D553A8" w:rsidRDefault="00D5357E" w:rsidP="00311E27">
      <w:pPr>
        <w:tabs>
          <w:tab w:val="left" w:pos="1701"/>
          <w:tab w:val="left" w:pos="3261"/>
        </w:tabs>
        <w:spacing w:line="276" w:lineRule="auto"/>
      </w:pPr>
      <w:r w:rsidRPr="00D553A8">
        <w:t>HQIP encourages the</w:t>
      </w:r>
      <w:r w:rsidR="002610D0">
        <w:t xml:space="preserve"> secondary</w:t>
      </w:r>
      <w:r w:rsidRPr="00D553A8">
        <w:t xml:space="preserve"> use of the data for </w:t>
      </w:r>
      <w:r w:rsidR="002610D0">
        <w:t xml:space="preserve">service evaluation, </w:t>
      </w:r>
      <w:r w:rsidRPr="00D553A8">
        <w:t>epidemiological studies</w:t>
      </w:r>
      <w:r w:rsidR="002610D0">
        <w:t xml:space="preserve">, </w:t>
      </w:r>
      <w:r w:rsidRPr="00D553A8">
        <w:t>health services research</w:t>
      </w:r>
      <w:r w:rsidR="002610D0">
        <w:t xml:space="preserve"> and other uses with clear public benefit</w:t>
      </w:r>
      <w:r w:rsidRPr="00D553A8">
        <w:t>. Such requests must be</w:t>
      </w:r>
      <w:r w:rsidR="007A5F3C" w:rsidRPr="00D553A8">
        <w:t xml:space="preserve"> submitted to HQIP data access request group process (DARG) for approval and</w:t>
      </w:r>
      <w:r w:rsidRPr="00D553A8">
        <w:t xml:space="preserve"> the subject of an appropriate data sharing agreement and information governance support. </w:t>
      </w:r>
    </w:p>
    <w:p w14:paraId="2A22899E" w14:textId="5F251DA3" w:rsidR="00D5357E" w:rsidRPr="00D553A8" w:rsidRDefault="00180D19" w:rsidP="006B1F92">
      <w:pPr>
        <w:pStyle w:val="Heading1"/>
      </w:pPr>
      <w:bookmarkStart w:id="214" w:name="_Toc213777637"/>
      <w:r>
        <w:t>D</w:t>
      </w:r>
      <w:r w:rsidR="00D5357E" w:rsidRPr="00D553A8">
        <w:t>eliverables</w:t>
      </w:r>
      <w:bookmarkEnd w:id="214"/>
    </w:p>
    <w:p w14:paraId="3373BD85" w14:textId="5970CED6" w:rsidR="00180D19" w:rsidRDefault="00D5357E" w:rsidP="00311E27">
      <w:pPr>
        <w:spacing w:line="276" w:lineRule="auto"/>
      </w:pPr>
      <w:r w:rsidRPr="00D553A8">
        <w:t xml:space="preserve">Contract deliverables will be agreed between HQIP and the </w:t>
      </w:r>
      <w:r w:rsidR="00C47163" w:rsidRPr="00D553A8">
        <w:t>supplier</w:t>
      </w:r>
      <w:r w:rsidRPr="00D553A8">
        <w:t xml:space="preserve"> following contract award. These deliverables are based on a standard template which is then adjusted as needed at the point of contracting. This ensures the final, agreed deliverables are fully aligned</w:t>
      </w:r>
      <w:r w:rsidRPr="00D553A8">
        <w:rPr>
          <w:spacing w:val="-7"/>
        </w:rPr>
        <w:t xml:space="preserve"> </w:t>
      </w:r>
      <w:r w:rsidRPr="00D553A8">
        <w:t>with</w:t>
      </w:r>
      <w:r w:rsidRPr="00D553A8">
        <w:rPr>
          <w:spacing w:val="-7"/>
        </w:rPr>
        <w:t xml:space="preserve"> </w:t>
      </w:r>
      <w:r w:rsidRPr="00D553A8">
        <w:t>the</w:t>
      </w:r>
      <w:r w:rsidRPr="00D553A8">
        <w:rPr>
          <w:spacing w:val="-8"/>
        </w:rPr>
        <w:t xml:space="preserve"> </w:t>
      </w:r>
      <w:r w:rsidRPr="00D553A8">
        <w:t>requirements</w:t>
      </w:r>
      <w:r w:rsidRPr="00D553A8">
        <w:rPr>
          <w:spacing w:val="-7"/>
        </w:rPr>
        <w:t xml:space="preserve"> </w:t>
      </w:r>
      <w:r w:rsidRPr="00D553A8">
        <w:t>of</w:t>
      </w:r>
      <w:r w:rsidRPr="00D553A8">
        <w:rPr>
          <w:spacing w:val="-9"/>
        </w:rPr>
        <w:t xml:space="preserve"> </w:t>
      </w:r>
      <w:r w:rsidRPr="00D553A8">
        <w:t>this</w:t>
      </w:r>
      <w:r w:rsidRPr="00D553A8">
        <w:rPr>
          <w:spacing w:val="-7"/>
        </w:rPr>
        <w:t xml:space="preserve"> </w:t>
      </w:r>
      <w:r w:rsidRPr="00D553A8">
        <w:t>specification</w:t>
      </w:r>
      <w:r w:rsidRPr="00D553A8">
        <w:rPr>
          <w:spacing w:val="-10"/>
        </w:rPr>
        <w:t xml:space="preserve"> </w:t>
      </w:r>
      <w:r w:rsidRPr="00D553A8">
        <w:t>as</w:t>
      </w:r>
      <w:r w:rsidRPr="00D553A8">
        <w:rPr>
          <w:spacing w:val="-9"/>
        </w:rPr>
        <w:t xml:space="preserve"> </w:t>
      </w:r>
      <w:r w:rsidRPr="00D553A8">
        <w:t>well</w:t>
      </w:r>
      <w:r w:rsidRPr="00D553A8">
        <w:rPr>
          <w:spacing w:val="-7"/>
        </w:rPr>
        <w:t xml:space="preserve"> </w:t>
      </w:r>
      <w:r w:rsidRPr="00D553A8">
        <w:t>as</w:t>
      </w:r>
      <w:r w:rsidRPr="00D553A8">
        <w:rPr>
          <w:spacing w:val="-9"/>
        </w:rPr>
        <w:t xml:space="preserve"> </w:t>
      </w:r>
      <w:r w:rsidRPr="00D553A8">
        <w:t>the</w:t>
      </w:r>
      <w:r w:rsidRPr="00D553A8">
        <w:rPr>
          <w:spacing w:val="-6"/>
        </w:rPr>
        <w:t xml:space="preserve"> </w:t>
      </w:r>
      <w:r w:rsidRPr="00D553A8">
        <w:t>detailed</w:t>
      </w:r>
      <w:r w:rsidRPr="00D553A8">
        <w:rPr>
          <w:spacing w:val="-7"/>
        </w:rPr>
        <w:t xml:space="preserve"> </w:t>
      </w:r>
      <w:r w:rsidRPr="00D553A8">
        <w:t>timelines</w:t>
      </w:r>
      <w:r w:rsidRPr="00D553A8">
        <w:rPr>
          <w:spacing w:val="-7"/>
        </w:rPr>
        <w:t xml:space="preserve"> </w:t>
      </w:r>
      <w:r w:rsidRPr="00D553A8">
        <w:t>of</w:t>
      </w:r>
      <w:r w:rsidRPr="00D553A8">
        <w:rPr>
          <w:spacing w:val="-9"/>
        </w:rPr>
        <w:t xml:space="preserve"> </w:t>
      </w:r>
      <w:r w:rsidRPr="00D553A8">
        <w:t>the</w:t>
      </w:r>
      <w:r w:rsidRPr="00D553A8">
        <w:rPr>
          <w:spacing w:val="-6"/>
        </w:rPr>
        <w:t xml:space="preserve"> </w:t>
      </w:r>
      <w:r w:rsidRPr="00D553A8">
        <w:t>project</w:t>
      </w:r>
      <w:r w:rsidRPr="00D553A8">
        <w:rPr>
          <w:spacing w:val="-6"/>
        </w:rPr>
        <w:t xml:space="preserve"> </w:t>
      </w:r>
      <w:r w:rsidRPr="00D553A8">
        <w:t xml:space="preserve">plan submitted by the </w:t>
      </w:r>
      <w:r w:rsidR="00C47163" w:rsidRPr="00D553A8">
        <w:t>supplier</w:t>
      </w:r>
      <w:r w:rsidRPr="00D553A8">
        <w:t xml:space="preserve">. Some deliverables will be payment-linked. The standard </w:t>
      </w:r>
      <w:r w:rsidR="00AF0488" w:rsidRPr="00D553A8">
        <w:t xml:space="preserve">deliverables </w:t>
      </w:r>
      <w:r w:rsidRPr="00D553A8">
        <w:t xml:space="preserve">template, and information on how payment linked deliverables are applied in practice, are provided as tender documents for information via HQIP’s </w:t>
      </w:r>
      <w:proofErr w:type="spellStart"/>
      <w:r w:rsidRPr="00D553A8">
        <w:t>eTendering</w:t>
      </w:r>
      <w:proofErr w:type="spellEnd"/>
      <w:r w:rsidRPr="00D553A8">
        <w:rPr>
          <w:spacing w:val="-26"/>
        </w:rPr>
        <w:t xml:space="preserve"> </w:t>
      </w:r>
      <w:r w:rsidRPr="00D553A8">
        <w:t>portal.</w:t>
      </w:r>
    </w:p>
    <w:p w14:paraId="2DD5BB46" w14:textId="495927F2" w:rsidR="002F671B" w:rsidRDefault="00544396" w:rsidP="006B1F92">
      <w:pPr>
        <w:pStyle w:val="Heading1"/>
      </w:pPr>
      <w:bookmarkStart w:id="215" w:name="_Toc213777638"/>
      <w:r>
        <w:lastRenderedPageBreak/>
        <w:t>Other c</w:t>
      </w:r>
      <w:r w:rsidR="00180D19">
        <w:t>ontract considerations</w:t>
      </w:r>
      <w:bookmarkEnd w:id="215"/>
    </w:p>
    <w:p w14:paraId="6B9F592D" w14:textId="7C5E4F0B" w:rsidR="00180D19" w:rsidRPr="00D553A8" w:rsidRDefault="00180D19" w:rsidP="00180D19">
      <w:pPr>
        <w:pStyle w:val="Heading2"/>
        <w:spacing w:line="276" w:lineRule="auto"/>
      </w:pPr>
      <w:bookmarkStart w:id="216" w:name="_Toc213777639"/>
      <w:r w:rsidRPr="00D553A8">
        <w:t xml:space="preserve">Contract </w:t>
      </w:r>
      <w:r w:rsidR="00544396">
        <w:t>expectations</w:t>
      </w:r>
      <w:bookmarkEnd w:id="216"/>
    </w:p>
    <w:p w14:paraId="0964E5D2" w14:textId="77777777" w:rsidR="00725202" w:rsidRDefault="00725202" w:rsidP="00725202">
      <w:pPr>
        <w:spacing w:line="276" w:lineRule="auto"/>
      </w:pPr>
      <w:r>
        <w:t>Suppliers are expected to provide up-to-date information on adherence to deliverables and funder/commissioner key performance indicators (KPIs), in the format and frequency required by HQIP.</w:t>
      </w:r>
    </w:p>
    <w:p w14:paraId="209CE2DD" w14:textId="77777777" w:rsidR="00725202" w:rsidRDefault="00725202" w:rsidP="00180D19">
      <w:pPr>
        <w:spacing w:line="276" w:lineRule="auto"/>
      </w:pPr>
    </w:p>
    <w:p w14:paraId="40A63350" w14:textId="5297B238" w:rsidR="00180D19" w:rsidRPr="00D553A8" w:rsidRDefault="00180D19" w:rsidP="00180D19">
      <w:pPr>
        <w:spacing w:line="276" w:lineRule="auto"/>
      </w:pPr>
      <w:r w:rsidRPr="00D553A8">
        <w:t>HQIP</w:t>
      </w:r>
      <w:r w:rsidR="0073464D">
        <w:t xml:space="preserve"> and </w:t>
      </w:r>
      <w:r w:rsidRPr="00D553A8">
        <w:t>funders contribute representatives to governance groups, and the additional requirements of HQIP as commissioner are set out in the Provider Technical Manual. Whilst HQIP and the funders will support the project through sharing information and helping to integrate and promote the project, neither HQIP nor the funders provide resource required for any aspect of project delivery.</w:t>
      </w:r>
    </w:p>
    <w:p w14:paraId="430B6CBD" w14:textId="77777777" w:rsidR="00180D19" w:rsidRPr="00D553A8" w:rsidRDefault="00180D19" w:rsidP="00180D19">
      <w:pPr>
        <w:spacing w:line="276" w:lineRule="auto"/>
      </w:pPr>
    </w:p>
    <w:p w14:paraId="28575EFC" w14:textId="77777777" w:rsidR="00180D19" w:rsidRPr="00D553A8" w:rsidRDefault="00180D19" w:rsidP="00180D19">
      <w:pPr>
        <w:pStyle w:val="NormalWeb"/>
        <w:shd w:val="clear" w:color="auto" w:fill="FFFFFF"/>
        <w:spacing w:before="0" w:beforeAutospacing="0" w:after="0" w:afterAutospacing="0" w:line="276" w:lineRule="auto"/>
        <w:rPr>
          <w:rFonts w:asciiTheme="minorHAnsi" w:hAnsiTheme="minorHAnsi" w:cstheme="minorHAnsi"/>
          <w:sz w:val="22"/>
          <w:szCs w:val="22"/>
        </w:rPr>
      </w:pPr>
      <w:r w:rsidRPr="00D553A8">
        <w:rPr>
          <w:rFonts w:asciiTheme="minorHAnsi" w:hAnsiTheme="minorHAnsi" w:cstheme="minorHAnsi"/>
          <w:sz w:val="22"/>
          <w:szCs w:val="22"/>
        </w:rPr>
        <w:t xml:space="preserve">HQIP have two provider manuals, these manuals have restricted access to only those suppliers who are under contract with HQIP.  </w:t>
      </w:r>
    </w:p>
    <w:p w14:paraId="3AE3B899" w14:textId="2DBD4AF9" w:rsidR="00180D19" w:rsidRPr="00D553A8" w:rsidRDefault="00180D19" w:rsidP="00640C59">
      <w:pPr>
        <w:pStyle w:val="NormalWeb"/>
        <w:numPr>
          <w:ilvl w:val="0"/>
          <w:numId w:val="7"/>
        </w:numPr>
        <w:shd w:val="clear" w:color="auto" w:fill="FFFFFF"/>
        <w:spacing w:before="0" w:beforeAutospacing="0" w:after="0" w:afterAutospacing="0" w:line="276" w:lineRule="auto"/>
        <w:rPr>
          <w:rFonts w:asciiTheme="minorHAnsi" w:hAnsiTheme="minorHAnsi" w:cstheme="minorHAnsi"/>
          <w:sz w:val="22"/>
          <w:szCs w:val="22"/>
        </w:rPr>
      </w:pPr>
      <w:r w:rsidRPr="00D553A8">
        <w:rPr>
          <w:rFonts w:asciiTheme="minorHAnsi" w:hAnsiTheme="minorHAnsi" w:cstheme="minorHAnsi"/>
          <w:sz w:val="22"/>
          <w:szCs w:val="22"/>
        </w:rPr>
        <w:t xml:space="preserve">The </w:t>
      </w:r>
      <w:r w:rsidR="00070865" w:rsidRPr="00D553A8">
        <w:rPr>
          <w:rFonts w:asciiTheme="minorHAnsi" w:hAnsiTheme="minorHAnsi" w:cstheme="minorHAnsi"/>
          <w:sz w:val="22"/>
          <w:szCs w:val="22"/>
        </w:rPr>
        <w:t xml:space="preserve">Provider Technical Manual </w:t>
      </w:r>
      <w:r w:rsidRPr="00D553A8">
        <w:rPr>
          <w:rFonts w:asciiTheme="minorHAnsi" w:hAnsiTheme="minorHAnsi" w:cstheme="minorHAnsi"/>
          <w:sz w:val="22"/>
          <w:szCs w:val="22"/>
        </w:rPr>
        <w:t>(PTM)</w:t>
      </w:r>
    </w:p>
    <w:p w14:paraId="4D2D9142" w14:textId="79940631" w:rsidR="00180D19" w:rsidRPr="00D553A8" w:rsidRDefault="00180D19" w:rsidP="00640C59">
      <w:pPr>
        <w:pStyle w:val="NormalWeb"/>
        <w:numPr>
          <w:ilvl w:val="0"/>
          <w:numId w:val="7"/>
        </w:numPr>
        <w:shd w:val="clear" w:color="auto" w:fill="FFFFFF"/>
        <w:spacing w:before="0" w:beforeAutospacing="0" w:after="0" w:afterAutospacing="0" w:line="276" w:lineRule="auto"/>
        <w:rPr>
          <w:rFonts w:asciiTheme="minorHAnsi" w:hAnsiTheme="minorHAnsi" w:cstheme="minorHAnsi"/>
          <w:sz w:val="22"/>
          <w:szCs w:val="22"/>
        </w:rPr>
      </w:pPr>
      <w:r w:rsidRPr="00D553A8">
        <w:rPr>
          <w:rFonts w:asciiTheme="minorHAnsi" w:hAnsiTheme="minorHAnsi" w:cstheme="minorHAnsi"/>
          <w:sz w:val="22"/>
          <w:szCs w:val="22"/>
        </w:rPr>
        <w:t xml:space="preserve">The </w:t>
      </w:r>
      <w:r w:rsidR="00070865" w:rsidRPr="00D553A8">
        <w:rPr>
          <w:rFonts w:asciiTheme="minorHAnsi" w:hAnsiTheme="minorHAnsi" w:cstheme="minorHAnsi"/>
          <w:sz w:val="22"/>
          <w:szCs w:val="22"/>
        </w:rPr>
        <w:t xml:space="preserve">Provider Methodology Manual </w:t>
      </w:r>
      <w:r w:rsidRPr="00D553A8">
        <w:rPr>
          <w:rFonts w:asciiTheme="minorHAnsi" w:hAnsiTheme="minorHAnsi" w:cstheme="minorHAnsi"/>
          <w:sz w:val="22"/>
          <w:szCs w:val="22"/>
        </w:rPr>
        <w:t>(PMM)</w:t>
      </w:r>
    </w:p>
    <w:p w14:paraId="682A7C59" w14:textId="77777777" w:rsidR="00180D19" w:rsidRPr="00D553A8" w:rsidRDefault="00180D19" w:rsidP="00180D19">
      <w:pPr>
        <w:pStyle w:val="NormalWeb"/>
        <w:shd w:val="clear" w:color="auto" w:fill="FFFFFF"/>
        <w:spacing w:before="0" w:beforeAutospacing="0" w:after="0" w:afterAutospacing="0" w:line="276" w:lineRule="auto"/>
        <w:rPr>
          <w:rFonts w:asciiTheme="minorHAnsi" w:hAnsiTheme="minorHAnsi" w:cstheme="minorHAnsi"/>
          <w:sz w:val="22"/>
          <w:szCs w:val="22"/>
        </w:rPr>
      </w:pPr>
    </w:p>
    <w:p w14:paraId="40F14756" w14:textId="77777777" w:rsidR="00180D19" w:rsidRPr="00D553A8" w:rsidRDefault="00180D19" w:rsidP="00180D19">
      <w:pPr>
        <w:pStyle w:val="NormalWeb"/>
        <w:shd w:val="clear" w:color="auto" w:fill="FFFFFF"/>
        <w:spacing w:before="0" w:beforeAutospacing="0" w:after="0" w:afterAutospacing="0" w:line="276" w:lineRule="auto"/>
        <w:rPr>
          <w:rFonts w:asciiTheme="minorHAnsi" w:hAnsiTheme="minorHAnsi" w:cstheme="minorHAnsi"/>
          <w:sz w:val="22"/>
          <w:szCs w:val="22"/>
        </w:rPr>
      </w:pPr>
      <w:r w:rsidRPr="00D553A8">
        <w:rPr>
          <w:rFonts w:asciiTheme="minorHAnsi" w:hAnsiTheme="minorHAnsi" w:cstheme="minorHAnsi"/>
          <w:sz w:val="22"/>
          <w:szCs w:val="22"/>
        </w:rPr>
        <w:t>The purpose of these manuals is to provide consistency, transparency and standardisation, and where possible, to achieve a harmonised approach for all HQIP commissioned projects.</w:t>
      </w:r>
    </w:p>
    <w:p w14:paraId="034A8264" w14:textId="77777777" w:rsidR="00180D19" w:rsidRPr="00D553A8" w:rsidRDefault="00180D19" w:rsidP="00180D19">
      <w:pPr>
        <w:pStyle w:val="NormalWeb"/>
        <w:shd w:val="clear" w:color="auto" w:fill="FFFFFF"/>
        <w:spacing w:before="0" w:beforeAutospacing="0" w:after="0" w:afterAutospacing="0" w:line="276" w:lineRule="auto"/>
        <w:rPr>
          <w:rFonts w:asciiTheme="minorHAnsi" w:hAnsiTheme="minorHAnsi" w:cstheme="minorHAnsi"/>
          <w:sz w:val="22"/>
          <w:szCs w:val="22"/>
        </w:rPr>
      </w:pPr>
    </w:p>
    <w:p w14:paraId="5C78E921" w14:textId="77777777" w:rsidR="00180D19" w:rsidRPr="00D553A8" w:rsidRDefault="00180D19" w:rsidP="00180D19">
      <w:pPr>
        <w:pStyle w:val="NormalWeb"/>
        <w:shd w:val="clear" w:color="auto" w:fill="FFFFFF"/>
        <w:spacing w:before="0" w:beforeAutospacing="0" w:after="0" w:afterAutospacing="0" w:line="276" w:lineRule="auto"/>
        <w:rPr>
          <w:rFonts w:asciiTheme="minorHAnsi" w:hAnsiTheme="minorHAnsi" w:cstheme="minorHAnsi"/>
          <w:sz w:val="22"/>
          <w:szCs w:val="22"/>
        </w:rPr>
      </w:pPr>
      <w:r w:rsidRPr="00D553A8">
        <w:rPr>
          <w:rFonts w:asciiTheme="minorHAnsi" w:hAnsiTheme="minorHAnsi" w:cstheme="minorHAnsi"/>
          <w:sz w:val="22"/>
          <w:szCs w:val="22"/>
        </w:rPr>
        <w:t>The manuals describe the processes used in the commissioning, managing, supporting and promoting of national programmes of quality improvement from the initial phases of a project to publication of reports, the implementation of healthcare quality improvement and through to project close-down.</w:t>
      </w:r>
    </w:p>
    <w:p w14:paraId="259476AD" w14:textId="77777777" w:rsidR="00180D19" w:rsidRPr="00D553A8" w:rsidRDefault="00180D19" w:rsidP="00180D19">
      <w:pPr>
        <w:pStyle w:val="NormalWeb"/>
        <w:shd w:val="clear" w:color="auto" w:fill="FFFFFF"/>
        <w:spacing w:before="0" w:beforeAutospacing="0" w:after="0" w:afterAutospacing="0" w:line="276" w:lineRule="auto"/>
        <w:rPr>
          <w:rFonts w:asciiTheme="minorHAnsi" w:hAnsiTheme="minorHAnsi" w:cstheme="minorHAnsi"/>
          <w:sz w:val="22"/>
          <w:szCs w:val="22"/>
        </w:rPr>
      </w:pPr>
    </w:p>
    <w:p w14:paraId="4B99939A" w14:textId="77777777" w:rsidR="00180D19" w:rsidRPr="00D553A8" w:rsidRDefault="00180D19" w:rsidP="00180D19">
      <w:pPr>
        <w:pStyle w:val="NormalWeb"/>
        <w:shd w:val="clear" w:color="auto" w:fill="FFFFFF"/>
        <w:spacing w:before="0" w:beforeAutospacing="0" w:after="0" w:afterAutospacing="0" w:line="276" w:lineRule="auto"/>
        <w:rPr>
          <w:rFonts w:asciiTheme="minorHAnsi" w:hAnsiTheme="minorHAnsi"/>
          <w:sz w:val="22"/>
          <w:szCs w:val="22"/>
        </w:rPr>
      </w:pPr>
      <w:r w:rsidRPr="00D553A8">
        <w:rPr>
          <w:rFonts w:asciiTheme="minorHAnsi" w:hAnsiTheme="minorHAnsi" w:cstheme="minorHAnsi"/>
          <w:sz w:val="22"/>
          <w:szCs w:val="22"/>
        </w:rPr>
        <w:t xml:space="preserve">The manuals are commercially sensitive and hold a large amount of HQIP intellectual property rights. To aid bidders we share the </w:t>
      </w:r>
      <w:r w:rsidRPr="00D553A8">
        <w:rPr>
          <w:rFonts w:asciiTheme="minorHAnsi" w:hAnsiTheme="minorHAnsi"/>
          <w:sz w:val="22"/>
          <w:szCs w:val="22"/>
        </w:rPr>
        <w:t>content pages for the Provider Technical Manual and the Provider Methodology Manual (</w:t>
      </w:r>
      <w:r w:rsidRPr="00D553A8">
        <w:rPr>
          <w:rFonts w:asciiTheme="minorHAnsi" w:hAnsiTheme="minorHAnsi" w:cstheme="minorHAnsi"/>
          <w:sz w:val="22"/>
          <w:szCs w:val="22"/>
        </w:rPr>
        <w:t>Annex N of the Invitation to Tender).</w:t>
      </w:r>
    </w:p>
    <w:p w14:paraId="5DC06318" w14:textId="77777777" w:rsidR="00180D19" w:rsidRPr="00D553A8" w:rsidRDefault="00180D19" w:rsidP="00180D19">
      <w:pPr>
        <w:pStyle w:val="NormalWeb"/>
        <w:shd w:val="clear" w:color="auto" w:fill="FFFFFF"/>
        <w:spacing w:before="0" w:beforeAutospacing="0" w:after="0" w:afterAutospacing="0" w:line="276" w:lineRule="auto"/>
        <w:rPr>
          <w:rFonts w:asciiTheme="minorHAnsi" w:hAnsiTheme="minorHAnsi"/>
          <w:sz w:val="22"/>
          <w:szCs w:val="22"/>
        </w:rPr>
      </w:pPr>
    </w:p>
    <w:p w14:paraId="38A67BFE" w14:textId="393B58AC" w:rsidR="00180D19" w:rsidRPr="00D553A8" w:rsidRDefault="00180D19" w:rsidP="00180D19">
      <w:pPr>
        <w:spacing w:line="276" w:lineRule="auto"/>
      </w:pPr>
      <w:r w:rsidRPr="00D553A8">
        <w:rPr>
          <w:rFonts w:asciiTheme="minorHAnsi" w:hAnsiTheme="minorHAnsi"/>
        </w:rPr>
        <w:t>Both manuals are reviewed</w:t>
      </w:r>
      <w:r w:rsidR="000813DF" w:rsidRPr="000813DF">
        <w:rPr>
          <w:rFonts w:asciiTheme="minorHAnsi" w:hAnsiTheme="minorHAnsi"/>
        </w:rPr>
        <w:t xml:space="preserve"> </w:t>
      </w:r>
      <w:r w:rsidR="000813DF" w:rsidRPr="00D553A8">
        <w:rPr>
          <w:rFonts w:asciiTheme="minorHAnsi" w:hAnsiTheme="minorHAnsi"/>
        </w:rPr>
        <w:t xml:space="preserve">on a regular </w:t>
      </w:r>
      <w:r w:rsidR="00923F36" w:rsidRPr="00D553A8">
        <w:rPr>
          <w:rFonts w:asciiTheme="minorHAnsi" w:hAnsiTheme="minorHAnsi"/>
        </w:rPr>
        <w:t>basis and</w:t>
      </w:r>
      <w:r w:rsidRPr="00D553A8">
        <w:rPr>
          <w:rFonts w:asciiTheme="minorHAnsi" w:hAnsiTheme="minorHAnsi"/>
        </w:rPr>
        <w:t xml:space="preserve"> updated</w:t>
      </w:r>
      <w:r w:rsidR="000813DF">
        <w:rPr>
          <w:rFonts w:asciiTheme="minorHAnsi" w:hAnsiTheme="minorHAnsi"/>
        </w:rPr>
        <w:t xml:space="preserve"> </w:t>
      </w:r>
      <w:r w:rsidR="000813DF" w:rsidRPr="00D553A8">
        <w:rPr>
          <w:rFonts w:asciiTheme="minorHAnsi" w:hAnsiTheme="minorHAnsi"/>
        </w:rPr>
        <w:t>where required</w:t>
      </w:r>
      <w:r w:rsidRPr="00D553A8">
        <w:rPr>
          <w:rFonts w:asciiTheme="minorHAnsi" w:hAnsiTheme="minorHAnsi"/>
        </w:rPr>
        <w:t>.</w:t>
      </w:r>
    </w:p>
    <w:p w14:paraId="2566FD61" w14:textId="77777777" w:rsidR="00180D19" w:rsidRPr="00D553A8" w:rsidRDefault="00180D19" w:rsidP="00180D19">
      <w:pPr>
        <w:spacing w:line="276" w:lineRule="auto"/>
        <w:rPr>
          <w:color w:val="000000"/>
        </w:rPr>
      </w:pPr>
    </w:p>
    <w:p w14:paraId="7B132D34" w14:textId="77777777" w:rsidR="00180D19" w:rsidRPr="00D553A8" w:rsidRDefault="00180D19" w:rsidP="007648E6">
      <w:pPr>
        <w:pStyle w:val="Heading2"/>
      </w:pPr>
      <w:bookmarkStart w:id="217" w:name="_Toc213777640"/>
      <w:r w:rsidRPr="00D553A8">
        <w:t>Contract transitions</w:t>
      </w:r>
      <w:bookmarkEnd w:id="217"/>
    </w:p>
    <w:p w14:paraId="22952E2B" w14:textId="77777777" w:rsidR="00BE7EF7" w:rsidRPr="009D3838" w:rsidRDefault="00BE7EF7" w:rsidP="00BE7EF7">
      <w:pPr>
        <w:spacing w:line="276" w:lineRule="auto"/>
      </w:pPr>
      <w:r w:rsidRPr="009D3838">
        <w:t xml:space="preserve">HQIP’s intention is to sustain continuous programme delivery, with efficient and seamless transition between contract periods. </w:t>
      </w:r>
    </w:p>
    <w:p w14:paraId="42451FB4" w14:textId="77777777" w:rsidR="00BE7EF7" w:rsidRPr="009D3838" w:rsidRDefault="00BE7EF7" w:rsidP="00BE7EF7">
      <w:pPr>
        <w:spacing w:line="276" w:lineRule="auto"/>
      </w:pPr>
    </w:p>
    <w:p w14:paraId="7B50C021" w14:textId="35FAAFFC" w:rsidR="007A0EE9" w:rsidRPr="009D3838" w:rsidRDefault="007A0EE9" w:rsidP="00180D19">
      <w:pPr>
        <w:spacing w:line="276" w:lineRule="auto"/>
      </w:pPr>
      <w:r w:rsidRPr="009D3838">
        <w:t xml:space="preserve">It is expected that the outstanding tasks for any unreported data from the audit cycle in which the existing contract ends, will be completed in the new contract. Examples of this could include </w:t>
      </w:r>
      <w:r w:rsidR="009D3838" w:rsidRPr="009D3838">
        <w:t xml:space="preserve">data analysis, updating </w:t>
      </w:r>
      <w:r w:rsidRPr="009D3838">
        <w:t>online dashboards, producing and publishing the state of the nation report. Any transition tasks should be included within the tendered proposal and cost envelope.</w:t>
      </w:r>
    </w:p>
    <w:p w14:paraId="743083D9" w14:textId="77777777" w:rsidR="007A0EE9" w:rsidRPr="009D3838" w:rsidRDefault="007A0EE9" w:rsidP="00180D19">
      <w:pPr>
        <w:spacing w:line="276" w:lineRule="auto"/>
      </w:pPr>
    </w:p>
    <w:p w14:paraId="0CABA9C9" w14:textId="7CFF9628" w:rsidR="00BE7EF7" w:rsidRDefault="00BE7EF7" w:rsidP="00180D19">
      <w:pPr>
        <w:spacing w:line="276" w:lineRule="auto"/>
      </w:pPr>
      <w:r w:rsidRPr="009D3838">
        <w:t xml:space="preserve">If the contract </w:t>
      </w:r>
      <w:r w:rsidRPr="009D3838">
        <w:rPr>
          <w:iCs/>
        </w:rPr>
        <w:t>is awarded</w:t>
      </w:r>
      <w:r w:rsidRPr="009D3838">
        <w:t xml:space="preserve"> to a new supplier, there are likely to be additional transition tasks necessary due</w:t>
      </w:r>
      <w:r>
        <w:t xml:space="preserve"> to the change in contract holder. Examples of these could include the transfer of the historic and unreported data, transitions between IT platform providers, updating of IG permissions etc. Some of these transition tasks may sit outside the scope of this tender and</w:t>
      </w:r>
      <w:r w:rsidRPr="00CA4AE2">
        <w:t xml:space="preserve"> HQIP will engage with both the </w:t>
      </w:r>
      <w:r w:rsidRPr="00CA4AE2">
        <w:rPr>
          <w:iCs/>
        </w:rPr>
        <w:t>outgoing</w:t>
      </w:r>
      <w:r w:rsidRPr="00CA4AE2">
        <w:t xml:space="preserve"> and </w:t>
      </w:r>
      <w:r w:rsidRPr="00CA4AE2">
        <w:rPr>
          <w:iCs/>
        </w:rPr>
        <w:t>incoming</w:t>
      </w:r>
      <w:r w:rsidRPr="00CA4AE2">
        <w:t xml:space="preserve"> suppliers after contract award</w:t>
      </w:r>
      <w:r w:rsidRPr="00CA4AE2">
        <w:rPr>
          <w:iCs/>
        </w:rPr>
        <w:t xml:space="preserve"> to identify </w:t>
      </w:r>
      <w:r w:rsidRPr="00CA4AE2">
        <w:t xml:space="preserve">and </w:t>
      </w:r>
      <w:r w:rsidRPr="00CA4AE2">
        <w:rPr>
          <w:iCs/>
        </w:rPr>
        <w:t xml:space="preserve">agree </w:t>
      </w:r>
      <w:r>
        <w:rPr>
          <w:iCs/>
        </w:rPr>
        <w:t>their scope and resourcing</w:t>
      </w:r>
      <w:r w:rsidRPr="00CA4AE2">
        <w:t xml:space="preserve">. </w:t>
      </w:r>
      <w:r w:rsidRPr="00CA4AE2">
        <w:rPr>
          <w:iCs/>
        </w:rPr>
        <w:t xml:space="preserve">Transition between suppliers would </w:t>
      </w:r>
      <w:r w:rsidRPr="00CA4AE2">
        <w:t xml:space="preserve">be </w:t>
      </w:r>
      <w:r w:rsidRPr="00CA4AE2">
        <w:rPr>
          <w:iCs/>
        </w:rPr>
        <w:t xml:space="preserve">estimated to take place over a period of four to eight weeks immediately prior to </w:t>
      </w:r>
      <w:r w:rsidR="007220EA">
        <w:rPr>
          <w:iCs/>
        </w:rPr>
        <w:t>31 March 2027.</w:t>
      </w:r>
    </w:p>
    <w:p w14:paraId="12BCE08D" w14:textId="77777777" w:rsidR="00180D19" w:rsidRPr="00D553A8" w:rsidRDefault="00180D19" w:rsidP="007648E6">
      <w:pPr>
        <w:pStyle w:val="Heading2"/>
      </w:pPr>
      <w:bookmarkStart w:id="218" w:name="_Toc213777641"/>
      <w:r w:rsidRPr="00D553A8">
        <w:lastRenderedPageBreak/>
        <w:t>Sustainability beyond national funding</w:t>
      </w:r>
      <w:bookmarkEnd w:id="218"/>
    </w:p>
    <w:p w14:paraId="6BD8E294" w14:textId="40FBCEA5" w:rsidR="00180D19" w:rsidRPr="00D553A8" w:rsidRDefault="00180D19" w:rsidP="00291F2B">
      <w:pPr>
        <w:tabs>
          <w:tab w:val="left" w:pos="1701"/>
          <w:tab w:val="left" w:pos="3261"/>
        </w:tabs>
        <w:spacing w:line="276" w:lineRule="auto"/>
      </w:pPr>
      <w:r w:rsidRPr="00D553A8">
        <w:t xml:space="preserve">The project supplier must </w:t>
      </w:r>
      <w:proofErr w:type="gramStart"/>
      <w:r w:rsidRPr="00D553A8">
        <w:t>give consideration to</w:t>
      </w:r>
      <w:proofErr w:type="gramEnd"/>
      <w:r w:rsidRPr="00D553A8">
        <w:t xml:space="preserve"> self-sustainability and explore methods, processes, and solutions to ensure the continuation of the project after national funding has ceased.</w:t>
      </w:r>
    </w:p>
    <w:p w14:paraId="40312220" w14:textId="77777777" w:rsidR="00180D19" w:rsidRPr="00D553A8" w:rsidRDefault="00180D19" w:rsidP="00311E27">
      <w:pPr>
        <w:spacing w:line="276" w:lineRule="auto"/>
      </w:pPr>
    </w:p>
    <w:p w14:paraId="7B7E3FBF" w14:textId="77777777" w:rsidR="002F671B" w:rsidRPr="00D553A8" w:rsidRDefault="002F671B" w:rsidP="007648E6">
      <w:pPr>
        <w:pStyle w:val="Heading2"/>
      </w:pPr>
      <w:bookmarkStart w:id="219" w:name="_Toc213777642"/>
      <w:r w:rsidRPr="00D553A8">
        <w:t>Potential future aspirational intent</w:t>
      </w:r>
      <w:bookmarkEnd w:id="219"/>
    </w:p>
    <w:p w14:paraId="356081FE" w14:textId="1C68902F" w:rsidR="002F671B" w:rsidRPr="00D553A8" w:rsidRDefault="002F671B" w:rsidP="00311E27">
      <w:pPr>
        <w:spacing w:line="276" w:lineRule="auto"/>
      </w:pPr>
      <w:r w:rsidRPr="00D553A8">
        <w:t>The future aspirational intention of this opportunity is to potentially modify the contract, without altering its overall nature, by including the following potential options</w:t>
      </w:r>
      <w:r w:rsidR="00A0021E">
        <w:t>.</w:t>
      </w:r>
    </w:p>
    <w:p w14:paraId="5267ADA3" w14:textId="77777777" w:rsidR="00F82518" w:rsidRPr="00D553A8" w:rsidRDefault="00F82518" w:rsidP="00311E27">
      <w:pPr>
        <w:spacing w:line="276" w:lineRule="auto"/>
      </w:pPr>
    </w:p>
    <w:p w14:paraId="6E7D212D" w14:textId="72702BB2" w:rsidR="00F82518" w:rsidRPr="00D553A8" w:rsidRDefault="00F82518" w:rsidP="00F82518">
      <w:pPr>
        <w:spacing w:line="276" w:lineRule="auto"/>
      </w:pPr>
      <w:r w:rsidRPr="00D553A8">
        <w:t xml:space="preserve">Please note, </w:t>
      </w:r>
      <w:r w:rsidRPr="00D553A8">
        <w:rPr>
          <w:b/>
        </w:rPr>
        <w:t>there is no commitment by the Authority at this stage to include any of the below aspirational intent</w:t>
      </w:r>
      <w:r w:rsidRPr="00D553A8">
        <w:t xml:space="preserve">. Taking this aspirational intent into account, including the possibility that a contract extension may be offered for an additional 24 months, the </w:t>
      </w:r>
      <w:r w:rsidRPr="00D553A8">
        <w:rPr>
          <w:b/>
        </w:rPr>
        <w:t>potential</w:t>
      </w:r>
      <w:r w:rsidRPr="00D553A8">
        <w:t xml:space="preserve"> ceiling value is £</w:t>
      </w:r>
      <w:r w:rsidR="00A0021E">
        <w:t>9,</w:t>
      </w:r>
      <w:r w:rsidR="00A0021E" w:rsidRPr="00415D5E">
        <w:t>737,980</w:t>
      </w:r>
      <w:r w:rsidRPr="00415D5E">
        <w:t xml:space="preserve"> GBP </w:t>
      </w:r>
      <w:r w:rsidR="0073464D" w:rsidRPr="00415D5E">
        <w:t>in</w:t>
      </w:r>
      <w:r w:rsidRPr="00415D5E">
        <w:t>cluding VAT.</w:t>
      </w:r>
    </w:p>
    <w:p w14:paraId="2F7F90AA" w14:textId="77777777" w:rsidR="009328AD" w:rsidRDefault="009328AD" w:rsidP="00311E27">
      <w:pPr>
        <w:spacing w:line="276" w:lineRule="auto"/>
        <w:sectPr w:rsidR="009328AD" w:rsidSect="000F17B5">
          <w:pgSz w:w="11906" w:h="16838"/>
          <w:pgMar w:top="1440" w:right="1080" w:bottom="1440" w:left="1080" w:header="708" w:footer="708" w:gutter="0"/>
          <w:cols w:space="708"/>
          <w:docGrid w:linePitch="360"/>
        </w:sectPr>
      </w:pPr>
    </w:p>
    <w:p w14:paraId="516EA8D1" w14:textId="77777777" w:rsidR="002F671B" w:rsidRPr="00D553A8" w:rsidRDefault="002F671B" w:rsidP="00311E27">
      <w:pPr>
        <w:spacing w:line="276" w:lineRule="auto"/>
      </w:pPr>
    </w:p>
    <w:p w14:paraId="1D4F424E" w14:textId="54493696" w:rsidR="0040572D" w:rsidRPr="00D553A8" w:rsidRDefault="00DC0C68" w:rsidP="00AB7D62">
      <w:pPr>
        <w:pStyle w:val="Heading3"/>
      </w:pPr>
      <w:bookmarkStart w:id="220" w:name="_Toc213777643"/>
      <w:r>
        <w:t>A</w:t>
      </w:r>
      <w:r w:rsidR="00AB7D62">
        <w:t>spirational intent</w:t>
      </w:r>
      <w:bookmarkEnd w:id="220"/>
    </w:p>
    <w:p w14:paraId="54043B35" w14:textId="77777777" w:rsidR="002F671B" w:rsidRDefault="002F671B" w:rsidP="00311E27">
      <w:pPr>
        <w:spacing w:line="276" w:lineRule="auto"/>
      </w:pPr>
    </w:p>
    <w:tbl>
      <w:tblPr>
        <w:tblW w:w="13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1701"/>
        <w:gridCol w:w="1701"/>
        <w:gridCol w:w="5669"/>
      </w:tblGrid>
      <w:tr w:rsidR="00DC0C68" w:rsidRPr="00510990" w14:paraId="092F0FED" w14:textId="77777777" w:rsidTr="000E35A4">
        <w:trPr>
          <w:trHeight w:val="900"/>
          <w:tblHeader/>
        </w:trPr>
        <w:tc>
          <w:tcPr>
            <w:tcW w:w="4535" w:type="dxa"/>
            <w:shd w:val="clear" w:color="auto" w:fill="auto"/>
            <w:noWrap/>
            <w:vAlign w:val="center"/>
            <w:hideMark/>
          </w:tcPr>
          <w:p w14:paraId="7B1D0C2E" w14:textId="77777777" w:rsidR="00DC0C68" w:rsidRPr="00510990" w:rsidRDefault="00DC0C68" w:rsidP="000E35A4">
            <w:pPr>
              <w:widowControl/>
              <w:autoSpaceDE/>
              <w:autoSpaceDN/>
              <w:spacing w:line="276" w:lineRule="auto"/>
              <w:rPr>
                <w:rFonts w:asciiTheme="minorHAnsi" w:eastAsia="Times New Roman" w:hAnsiTheme="minorHAnsi" w:cstheme="minorHAnsi"/>
                <w:b/>
                <w:bCs/>
                <w:color w:val="000000"/>
                <w:sz w:val="20"/>
                <w:szCs w:val="20"/>
                <w:lang w:eastAsia="en-GB"/>
              </w:rPr>
            </w:pPr>
            <w:r w:rsidRPr="00510990">
              <w:rPr>
                <w:b/>
                <w:bCs/>
              </w:rPr>
              <w:t>Description/Specification</w:t>
            </w:r>
          </w:p>
        </w:tc>
        <w:tc>
          <w:tcPr>
            <w:tcW w:w="1701" w:type="dxa"/>
            <w:shd w:val="clear" w:color="auto" w:fill="auto"/>
            <w:vAlign w:val="center"/>
            <w:hideMark/>
          </w:tcPr>
          <w:p w14:paraId="24693D2B" w14:textId="77777777" w:rsidR="00DC0C68" w:rsidRPr="00510990" w:rsidRDefault="00DC0C68" w:rsidP="000E35A4">
            <w:pPr>
              <w:widowControl/>
              <w:autoSpaceDE/>
              <w:autoSpaceDN/>
              <w:spacing w:line="276" w:lineRule="auto"/>
              <w:rPr>
                <w:rFonts w:asciiTheme="minorHAnsi" w:eastAsia="Times New Roman" w:hAnsiTheme="minorHAnsi" w:cstheme="minorHAnsi"/>
                <w:b/>
                <w:bCs/>
                <w:color w:val="000000"/>
                <w:sz w:val="20"/>
                <w:szCs w:val="20"/>
                <w:lang w:eastAsia="en-GB"/>
              </w:rPr>
            </w:pPr>
            <w:r w:rsidRPr="00510990">
              <w:rPr>
                <w:b/>
                <w:bCs/>
              </w:rPr>
              <w:t>Amount</w:t>
            </w:r>
            <w:r w:rsidRPr="00510990">
              <w:rPr>
                <w:rStyle w:val="FootnoteReference"/>
              </w:rPr>
              <w:footnoteReference w:id="2"/>
            </w:r>
            <w:r w:rsidRPr="00510990">
              <w:rPr>
                <w:b/>
                <w:bCs/>
              </w:rPr>
              <w:t xml:space="preserve"> </w:t>
            </w:r>
            <w:proofErr w:type="spellStart"/>
            <w:r w:rsidRPr="00510990">
              <w:rPr>
                <w:b/>
                <w:bCs/>
              </w:rPr>
              <w:t>Excl</w:t>
            </w:r>
            <w:proofErr w:type="spellEnd"/>
            <w:r w:rsidRPr="00510990">
              <w:rPr>
                <w:b/>
                <w:bCs/>
              </w:rPr>
              <w:t xml:space="preserve"> VAT</w:t>
            </w:r>
          </w:p>
        </w:tc>
        <w:tc>
          <w:tcPr>
            <w:tcW w:w="1701" w:type="dxa"/>
            <w:shd w:val="clear" w:color="auto" w:fill="auto"/>
            <w:vAlign w:val="center"/>
            <w:hideMark/>
          </w:tcPr>
          <w:p w14:paraId="745C6938" w14:textId="77777777" w:rsidR="00DC0C68" w:rsidRPr="00510990" w:rsidRDefault="00DC0C68" w:rsidP="000E35A4">
            <w:pPr>
              <w:widowControl/>
              <w:autoSpaceDE/>
              <w:autoSpaceDN/>
              <w:spacing w:line="276" w:lineRule="auto"/>
              <w:rPr>
                <w:rFonts w:asciiTheme="minorHAnsi" w:eastAsia="Times New Roman" w:hAnsiTheme="minorHAnsi" w:cstheme="minorHAnsi"/>
                <w:b/>
                <w:bCs/>
                <w:color w:val="000000"/>
                <w:sz w:val="20"/>
                <w:szCs w:val="20"/>
                <w:lang w:eastAsia="en-GB"/>
              </w:rPr>
            </w:pPr>
            <w:r w:rsidRPr="00510990">
              <w:rPr>
                <w:b/>
                <w:bCs/>
              </w:rPr>
              <w:t xml:space="preserve">Amount </w:t>
            </w:r>
            <w:proofErr w:type="spellStart"/>
            <w:r w:rsidRPr="00510990">
              <w:rPr>
                <w:b/>
                <w:bCs/>
              </w:rPr>
              <w:t>Incl</w:t>
            </w:r>
            <w:proofErr w:type="spellEnd"/>
            <w:r w:rsidRPr="00510990">
              <w:rPr>
                <w:b/>
                <w:bCs/>
              </w:rPr>
              <w:t xml:space="preserve"> VAT</w:t>
            </w:r>
            <w:r>
              <w:rPr>
                <w:rStyle w:val="FootnoteReference"/>
              </w:rPr>
              <w:footnoteReference w:id="3"/>
            </w:r>
          </w:p>
        </w:tc>
        <w:tc>
          <w:tcPr>
            <w:tcW w:w="5669" w:type="dxa"/>
            <w:shd w:val="clear" w:color="auto" w:fill="auto"/>
            <w:noWrap/>
            <w:vAlign w:val="center"/>
            <w:hideMark/>
          </w:tcPr>
          <w:p w14:paraId="183D77F1" w14:textId="77777777" w:rsidR="00DC0C68" w:rsidRPr="00510990" w:rsidRDefault="00DC0C68" w:rsidP="000E35A4">
            <w:pPr>
              <w:widowControl/>
              <w:autoSpaceDE/>
              <w:autoSpaceDN/>
              <w:spacing w:line="276" w:lineRule="auto"/>
              <w:rPr>
                <w:rFonts w:asciiTheme="minorHAnsi" w:eastAsia="Times New Roman" w:hAnsiTheme="minorHAnsi" w:cstheme="minorHAnsi"/>
                <w:b/>
                <w:bCs/>
                <w:color w:val="000000"/>
                <w:sz w:val="20"/>
                <w:szCs w:val="20"/>
                <w:lang w:eastAsia="en-GB"/>
              </w:rPr>
            </w:pPr>
            <w:r w:rsidRPr="00510990">
              <w:rPr>
                <w:b/>
                <w:bCs/>
              </w:rPr>
              <w:t>Mechanism for Invoking</w:t>
            </w:r>
          </w:p>
        </w:tc>
      </w:tr>
      <w:tr w:rsidR="00DC0C68" w:rsidRPr="006D6FE3" w14:paraId="4A2CABAF" w14:textId="77777777" w:rsidTr="000E35A4">
        <w:trPr>
          <w:trHeight w:val="482"/>
        </w:trPr>
        <w:tc>
          <w:tcPr>
            <w:tcW w:w="13606" w:type="dxa"/>
            <w:gridSpan w:val="4"/>
            <w:shd w:val="clear" w:color="auto" w:fill="auto"/>
            <w:vAlign w:val="center"/>
          </w:tcPr>
          <w:p w14:paraId="6D82B37D" w14:textId="77777777" w:rsidR="00DC0C68" w:rsidRPr="00D553A8" w:rsidRDefault="00DC0C68" w:rsidP="000E35A4">
            <w:pPr>
              <w:widowControl/>
              <w:autoSpaceDE/>
              <w:autoSpaceDN/>
              <w:spacing w:line="276" w:lineRule="auto"/>
            </w:pPr>
            <w:r w:rsidRPr="00D553A8">
              <w:t>1. Up to 24-month extension that mirrors the NCAPOP headline contract</w:t>
            </w:r>
            <w:r>
              <w:t>.</w:t>
            </w:r>
          </w:p>
        </w:tc>
      </w:tr>
      <w:tr w:rsidR="00DC0C68" w:rsidRPr="006D6FE3" w14:paraId="36EA26D2" w14:textId="77777777" w:rsidTr="000E35A4">
        <w:trPr>
          <w:trHeight w:val="1043"/>
        </w:trPr>
        <w:tc>
          <w:tcPr>
            <w:tcW w:w="4535" w:type="dxa"/>
            <w:shd w:val="clear" w:color="auto" w:fill="auto"/>
          </w:tcPr>
          <w:p w14:paraId="2EC33A5B" w14:textId="77777777" w:rsidR="00DC0C68" w:rsidRPr="006D6FE3"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rsidRPr="00D553A8">
              <w:t>Potential total of 24-months extension to the contract for a maximum term of five years</w:t>
            </w:r>
            <w:r>
              <w:t>.</w:t>
            </w:r>
          </w:p>
        </w:tc>
        <w:tc>
          <w:tcPr>
            <w:tcW w:w="1701" w:type="dxa"/>
            <w:shd w:val="clear" w:color="auto" w:fill="auto"/>
            <w:noWrap/>
          </w:tcPr>
          <w:p w14:paraId="12A29079" w14:textId="77777777" w:rsidR="00DC0C68" w:rsidRPr="00E9367B" w:rsidRDefault="00DC0C68" w:rsidP="000E35A4">
            <w:pPr>
              <w:spacing w:line="276" w:lineRule="auto"/>
            </w:pPr>
            <w:r>
              <w:t xml:space="preserve">Up to </w:t>
            </w:r>
          </w:p>
          <w:p w14:paraId="018D3C84" w14:textId="77777777" w:rsidR="00DC0C68" w:rsidRDefault="00DC0C68" w:rsidP="000E35A4">
            <w:pPr>
              <w:widowControl/>
              <w:autoSpaceDE/>
              <w:autoSpaceDN/>
              <w:spacing w:line="276" w:lineRule="auto"/>
            </w:pPr>
            <w:r w:rsidRPr="00E9367B">
              <w:t>£701,200</w:t>
            </w:r>
          </w:p>
          <w:p w14:paraId="22573D2A" w14:textId="77777777" w:rsidR="00DC0C68" w:rsidRPr="008A1ED4"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proofErr w:type="gramStart"/>
            <w:r w:rsidRPr="00E9367B">
              <w:t>plus</w:t>
            </w:r>
            <w:proofErr w:type="gramEnd"/>
            <w:r w:rsidRPr="00E9367B">
              <w:t xml:space="preserve"> a pro-rata of any costs invoked under aspirational intent as defined in the sections below</w:t>
            </w:r>
          </w:p>
        </w:tc>
        <w:tc>
          <w:tcPr>
            <w:tcW w:w="1701" w:type="dxa"/>
            <w:shd w:val="clear" w:color="auto" w:fill="auto"/>
            <w:noWrap/>
          </w:tcPr>
          <w:p w14:paraId="07D24A5B" w14:textId="77777777" w:rsidR="00DC0C68" w:rsidRPr="00E9367B" w:rsidRDefault="00DC0C68" w:rsidP="000E35A4">
            <w:pPr>
              <w:spacing w:line="276" w:lineRule="auto"/>
            </w:pPr>
            <w:r>
              <w:t xml:space="preserve">Up to </w:t>
            </w:r>
          </w:p>
          <w:p w14:paraId="297B38B9" w14:textId="77777777" w:rsidR="00DC0C68" w:rsidRDefault="00DC0C68" w:rsidP="000E35A4">
            <w:pPr>
              <w:widowControl/>
              <w:autoSpaceDE/>
              <w:autoSpaceDN/>
              <w:spacing w:line="276" w:lineRule="auto"/>
            </w:pPr>
            <w:r w:rsidRPr="00E9367B">
              <w:t>£841,440</w:t>
            </w:r>
          </w:p>
          <w:p w14:paraId="773BE11D" w14:textId="77777777" w:rsidR="00DC0C68" w:rsidRPr="008A1ED4"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proofErr w:type="gramStart"/>
            <w:r w:rsidRPr="00E9367B">
              <w:t>plus</w:t>
            </w:r>
            <w:proofErr w:type="gramEnd"/>
            <w:r w:rsidRPr="00E9367B">
              <w:t xml:space="preserve"> a pro-rata of any costs invoked under aspirational intent as defined in the sections below</w:t>
            </w:r>
          </w:p>
        </w:tc>
        <w:tc>
          <w:tcPr>
            <w:tcW w:w="5669" w:type="dxa"/>
            <w:shd w:val="clear" w:color="auto" w:fill="auto"/>
          </w:tcPr>
          <w:p w14:paraId="4F381E2B" w14:textId="77777777" w:rsidR="00DC0C68" w:rsidRPr="00510990" w:rsidRDefault="00DC0C68" w:rsidP="000E35A4">
            <w:pPr>
              <w:widowControl/>
              <w:autoSpaceDE/>
              <w:autoSpaceDN/>
              <w:spacing w:line="276" w:lineRule="auto"/>
            </w:pPr>
            <w:r w:rsidRPr="00D553A8">
              <w:t xml:space="preserve">HQIP may propose an extension if there is evidence that the supplier has met the requirements of the specification, deliverables are met in line with requirements and the funder agrees with an extension. If the supplier agrees to the extension the contract shall be so amended provided that such amendment will not change the overall nature and balance of risk of the contract, and on the basis that any increase in costs is on an </w:t>
            </w:r>
            <w:proofErr w:type="gramStart"/>
            <w:r w:rsidRPr="00D553A8">
              <w:t>open-book</w:t>
            </w:r>
            <w:proofErr w:type="gramEnd"/>
            <w:r w:rsidRPr="00D553A8">
              <w:t xml:space="preserve"> basis, or uses the same pricing profile as in the initial contract, so as to achieve best value.</w:t>
            </w:r>
          </w:p>
        </w:tc>
      </w:tr>
      <w:tr w:rsidR="00DC0C68" w:rsidRPr="006D6FE3" w14:paraId="6434C40C" w14:textId="77777777" w:rsidTr="000E35A4">
        <w:trPr>
          <w:trHeight w:val="482"/>
        </w:trPr>
        <w:tc>
          <w:tcPr>
            <w:tcW w:w="13606" w:type="dxa"/>
            <w:gridSpan w:val="4"/>
            <w:shd w:val="clear" w:color="auto" w:fill="auto"/>
            <w:vAlign w:val="center"/>
          </w:tcPr>
          <w:p w14:paraId="4FE01FE7" w14:textId="77777777" w:rsidR="00DC0C68" w:rsidRPr="00D553A8" w:rsidRDefault="00DC0C68" w:rsidP="000E35A4">
            <w:pPr>
              <w:widowControl/>
              <w:autoSpaceDE/>
              <w:autoSpaceDN/>
              <w:spacing w:line="276" w:lineRule="auto"/>
            </w:pPr>
            <w:r>
              <w:t xml:space="preserve">2. </w:t>
            </w:r>
            <w:r w:rsidRPr="00277BF1">
              <w:t xml:space="preserve">Inclusion of additional clinical audits and/or </w:t>
            </w:r>
            <w:r>
              <w:t>c</w:t>
            </w:r>
            <w:r w:rsidRPr="00277BF1">
              <w:t>linical Outcome Review Programmes (CORP)</w:t>
            </w:r>
            <w:r>
              <w:t>.</w:t>
            </w:r>
          </w:p>
        </w:tc>
      </w:tr>
      <w:tr w:rsidR="00DC0C68" w:rsidRPr="006D6FE3" w14:paraId="267D1FC9" w14:textId="77777777" w:rsidTr="000E35A4">
        <w:trPr>
          <w:trHeight w:val="1043"/>
        </w:trPr>
        <w:tc>
          <w:tcPr>
            <w:tcW w:w="4535" w:type="dxa"/>
            <w:shd w:val="clear" w:color="auto" w:fill="auto"/>
          </w:tcPr>
          <w:p w14:paraId="5751E61C" w14:textId="77777777" w:rsidR="00DC0C68" w:rsidRPr="00510990" w:rsidRDefault="00DC0C68" w:rsidP="000E35A4">
            <w:pPr>
              <w:spacing w:line="276" w:lineRule="auto"/>
            </w:pPr>
            <w:r>
              <w:t>N</w:t>
            </w:r>
            <w:r w:rsidRPr="00510990">
              <w:t xml:space="preserve">ew audit or </w:t>
            </w:r>
            <w:r>
              <w:t>outcome review programme</w:t>
            </w:r>
            <w:r w:rsidRPr="00510990">
              <w:t xml:space="preserve"> topics aligned to Government policy </w:t>
            </w:r>
            <w:r>
              <w:t xml:space="preserve">(e.g. </w:t>
            </w:r>
            <w:r w:rsidRPr="00510990">
              <w:t>the 10-year health plan and associated initiatives</w:t>
            </w:r>
            <w:r>
              <w:t xml:space="preserve">) – e.g. this could include additional epilepsy audits, neurology topics, or related topics. </w:t>
            </w:r>
          </w:p>
        </w:tc>
        <w:tc>
          <w:tcPr>
            <w:tcW w:w="1701" w:type="dxa"/>
            <w:shd w:val="clear" w:color="auto" w:fill="auto"/>
            <w:noWrap/>
          </w:tcPr>
          <w:p w14:paraId="7BF5B3A2" w14:textId="77777777" w:rsidR="00DC0C68" w:rsidRPr="00847F11" w:rsidRDefault="00DC0C68" w:rsidP="000E35A4">
            <w:pPr>
              <w:spacing w:line="276" w:lineRule="auto"/>
            </w:pPr>
            <w:r>
              <w:t>Up to</w:t>
            </w:r>
          </w:p>
          <w:p w14:paraId="1BF94A89" w14:textId="77777777" w:rsidR="00DC0C68" w:rsidRPr="00847F11"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rsidRPr="00847F11">
              <w:t>£1,200,000</w:t>
            </w:r>
          </w:p>
        </w:tc>
        <w:tc>
          <w:tcPr>
            <w:tcW w:w="1701" w:type="dxa"/>
            <w:shd w:val="clear" w:color="auto" w:fill="auto"/>
            <w:noWrap/>
          </w:tcPr>
          <w:p w14:paraId="45AD26D6" w14:textId="77777777" w:rsidR="00DC0C68" w:rsidRPr="003C4B6F" w:rsidRDefault="00DC0C68" w:rsidP="000E35A4">
            <w:pPr>
              <w:spacing w:line="276" w:lineRule="auto"/>
            </w:pPr>
            <w:r w:rsidRPr="003C4B6F">
              <w:t>Up to £1,440,000</w:t>
            </w:r>
          </w:p>
        </w:tc>
        <w:tc>
          <w:tcPr>
            <w:tcW w:w="5669" w:type="dxa"/>
            <w:shd w:val="clear" w:color="auto" w:fill="auto"/>
          </w:tcPr>
          <w:p w14:paraId="1EB7BB02" w14:textId="77777777" w:rsidR="00DC0C68" w:rsidRPr="00D553A8" w:rsidRDefault="00DC0C68" w:rsidP="000E35A4">
            <w:pPr>
              <w:widowControl/>
              <w:autoSpaceDE/>
              <w:autoSpaceDN/>
              <w:spacing w:line="276" w:lineRule="auto"/>
            </w:pPr>
            <w:r w:rsidRPr="00D553A8">
              <w:t>To commission a</w:t>
            </w:r>
            <w:r>
              <w:t>n audit</w:t>
            </w:r>
            <w:r w:rsidRPr="00D553A8">
              <w:t xml:space="preserve"> (or other methodology) in line with projects of a similar nature, the funder may wish to include the additional projects.</w:t>
            </w:r>
          </w:p>
          <w:p w14:paraId="098DF859" w14:textId="77777777" w:rsidR="00DC0C68" w:rsidRPr="00510990" w:rsidRDefault="00DC0C68" w:rsidP="000E35A4">
            <w:pPr>
              <w:widowControl/>
              <w:autoSpaceDE/>
              <w:autoSpaceDN/>
              <w:spacing w:line="276" w:lineRule="auto"/>
            </w:pPr>
            <w:r w:rsidRPr="00D553A8">
              <w:t>In these circumstances, HQIP will propose amending the contract in line with the specification, and if the supplier agrees the contract will be so amended provided that such amendment will not change the overall nature and balance of risk of the contract, and on the basis that any increase in costs is on an open-book basis, or uses the same pricing profile as in the initial contract, so as to achieve best value.</w:t>
            </w:r>
          </w:p>
        </w:tc>
      </w:tr>
      <w:tr w:rsidR="00DC0C68" w:rsidRPr="006D6FE3" w14:paraId="130DC05B" w14:textId="77777777" w:rsidTr="00E931C2">
        <w:trPr>
          <w:trHeight w:val="850"/>
        </w:trPr>
        <w:tc>
          <w:tcPr>
            <w:tcW w:w="13606" w:type="dxa"/>
            <w:gridSpan w:val="4"/>
            <w:shd w:val="clear" w:color="auto" w:fill="auto"/>
            <w:vAlign w:val="center"/>
          </w:tcPr>
          <w:p w14:paraId="2939375D" w14:textId="090FDECB" w:rsidR="00DC0C68" w:rsidRPr="00460EAA" w:rsidRDefault="00DC0C68" w:rsidP="000E35A4">
            <w:pPr>
              <w:widowControl/>
              <w:autoSpaceDE/>
              <w:autoSpaceDN/>
              <w:spacing w:line="276" w:lineRule="auto"/>
            </w:pPr>
            <w:r>
              <w:lastRenderedPageBreak/>
              <w:t xml:space="preserve">3. </w:t>
            </w:r>
            <w:r w:rsidRPr="00460EAA">
              <w:t>Transition to different models of data collection/outputs &amp;/or operational methods/processes for the audi</w:t>
            </w:r>
            <w:r w:rsidR="00415D5E">
              <w:t>t</w:t>
            </w:r>
            <w:r w:rsidRPr="00460EAA">
              <w:t xml:space="preserve">. This may include implementing new ways of working where opportunities emerge to leverage </w:t>
            </w:r>
            <w:r>
              <w:t>a</w:t>
            </w:r>
            <w:r w:rsidRPr="00460EAA">
              <w:t xml:space="preserve">rtificial </w:t>
            </w:r>
            <w:r>
              <w:t>i</w:t>
            </w:r>
            <w:r w:rsidRPr="00460EAA">
              <w:t>ntelligence tools to drive</w:t>
            </w:r>
            <w:r>
              <w:t xml:space="preserve"> e</w:t>
            </w:r>
            <w:r w:rsidRPr="00460EAA">
              <w:t>fficiency and reduce burden.</w:t>
            </w:r>
          </w:p>
        </w:tc>
      </w:tr>
      <w:tr w:rsidR="00DC0C68" w:rsidRPr="006D6FE3" w14:paraId="437B9776" w14:textId="77777777" w:rsidTr="000E35A4">
        <w:trPr>
          <w:trHeight w:val="3685"/>
        </w:trPr>
        <w:tc>
          <w:tcPr>
            <w:tcW w:w="4535" w:type="dxa"/>
            <w:shd w:val="clear" w:color="auto" w:fill="auto"/>
          </w:tcPr>
          <w:p w14:paraId="46F5437C" w14:textId="77777777" w:rsidR="00DC0C68" w:rsidRDefault="00DC0C68" w:rsidP="000E35A4">
            <w:pPr>
              <w:widowControl/>
              <w:autoSpaceDE/>
              <w:autoSpaceDN/>
              <w:spacing w:line="276" w:lineRule="auto"/>
              <w:rPr>
                <w:rFonts w:eastAsia="Times New Roman"/>
              </w:rPr>
            </w:pPr>
            <w:r w:rsidRPr="00460EAA">
              <w:t xml:space="preserve">As the programme evolves, it may become relevant to adjust the way in which data are collected and adjust the methods/processes for routine or bespoke data. </w:t>
            </w:r>
            <w:r w:rsidRPr="00460EAA">
              <w:rPr>
                <w:rFonts w:eastAsia="Times New Roman"/>
              </w:rPr>
              <w:t xml:space="preserve">This may include supporting (in collaboration with HQIP and NHSE) the future direction of NHS </w:t>
            </w:r>
            <w:r>
              <w:rPr>
                <w:rFonts w:eastAsia="Times New Roman"/>
              </w:rPr>
              <w:t>i</w:t>
            </w:r>
            <w:r w:rsidRPr="00460EAA">
              <w:rPr>
                <w:rFonts w:eastAsia="Times New Roman"/>
              </w:rPr>
              <w:t xml:space="preserve">nformation and </w:t>
            </w:r>
            <w:r>
              <w:rPr>
                <w:rFonts w:eastAsia="Times New Roman"/>
              </w:rPr>
              <w:t>d</w:t>
            </w:r>
            <w:r w:rsidRPr="00460EAA">
              <w:rPr>
                <w:rFonts w:eastAsia="Times New Roman"/>
              </w:rPr>
              <w:t xml:space="preserve">ata </w:t>
            </w:r>
            <w:r>
              <w:rPr>
                <w:rFonts w:eastAsia="Times New Roman"/>
              </w:rPr>
              <w:t>a</w:t>
            </w:r>
            <w:r w:rsidRPr="00460EAA">
              <w:rPr>
                <w:rFonts w:eastAsia="Times New Roman"/>
              </w:rPr>
              <w:t xml:space="preserve">cquisition. There may be other aspects of delivery where introducing </w:t>
            </w:r>
            <w:r>
              <w:rPr>
                <w:rFonts w:eastAsia="Times New Roman"/>
              </w:rPr>
              <w:t>a</w:t>
            </w:r>
            <w:r w:rsidRPr="00460EAA">
              <w:rPr>
                <w:rFonts w:eastAsia="Times New Roman"/>
              </w:rPr>
              <w:t xml:space="preserve">rtificial </w:t>
            </w:r>
            <w:r>
              <w:rPr>
                <w:rFonts w:eastAsia="Times New Roman"/>
              </w:rPr>
              <w:t>i</w:t>
            </w:r>
            <w:r w:rsidRPr="00460EAA">
              <w:rPr>
                <w:rFonts w:eastAsia="Times New Roman"/>
              </w:rPr>
              <w:t>ntelligence can serve to reduce resource requirements either for the project team or at local level (e.g. reducing data entry burden)</w:t>
            </w:r>
          </w:p>
          <w:p w14:paraId="688D1706" w14:textId="77777777" w:rsidR="00DC0C68" w:rsidRDefault="00DC0C68" w:rsidP="000E35A4">
            <w:pPr>
              <w:widowControl/>
              <w:autoSpaceDE/>
              <w:autoSpaceDN/>
              <w:spacing w:line="276" w:lineRule="auto"/>
              <w:rPr>
                <w:rFonts w:eastAsia="Times New Roman"/>
                <w:color w:val="000000"/>
                <w:sz w:val="20"/>
                <w:szCs w:val="20"/>
                <w:lang w:eastAsia="en-GB"/>
              </w:rPr>
            </w:pPr>
          </w:p>
          <w:p w14:paraId="1199272C" w14:textId="77777777" w:rsidR="00DC0C68" w:rsidRPr="006D6FE3"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p>
        </w:tc>
        <w:tc>
          <w:tcPr>
            <w:tcW w:w="1701" w:type="dxa"/>
            <w:shd w:val="clear" w:color="auto" w:fill="auto"/>
            <w:noWrap/>
          </w:tcPr>
          <w:p w14:paraId="3B807ABB" w14:textId="77777777" w:rsidR="00DC0C68" w:rsidRPr="006A776A"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rsidRPr="006A776A">
              <w:t>Up to £525,900</w:t>
            </w:r>
          </w:p>
        </w:tc>
        <w:tc>
          <w:tcPr>
            <w:tcW w:w="1701" w:type="dxa"/>
            <w:shd w:val="clear" w:color="auto" w:fill="auto"/>
            <w:noWrap/>
          </w:tcPr>
          <w:p w14:paraId="4AF1372B" w14:textId="77777777" w:rsidR="00DC0C68" w:rsidRPr="006A776A"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rsidRPr="006A776A">
              <w:t>Up to £631,080</w:t>
            </w:r>
          </w:p>
        </w:tc>
        <w:tc>
          <w:tcPr>
            <w:tcW w:w="5669" w:type="dxa"/>
            <w:shd w:val="clear" w:color="auto" w:fill="auto"/>
          </w:tcPr>
          <w:p w14:paraId="22DE414B" w14:textId="77777777" w:rsidR="00DC0C68" w:rsidRPr="006D6FE3"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rsidRPr="00460EAA">
              <w:t>In these circumstances, HQIP will propose amending the contract for programme evolution, and if the supplier agrees the contract will be so amended provided that such amendment will not change the overall nature and balance of risk of the contract, and on the basis that any increase in costs is on an open-book basis, or uses the same pricing profile as in the initial contract, so as to achieve best value.</w:t>
            </w:r>
          </w:p>
        </w:tc>
      </w:tr>
      <w:tr w:rsidR="00DC0C68" w:rsidRPr="006D6FE3" w14:paraId="63412DEA" w14:textId="77777777" w:rsidTr="00E931C2">
        <w:trPr>
          <w:trHeight w:val="567"/>
        </w:trPr>
        <w:tc>
          <w:tcPr>
            <w:tcW w:w="13606" w:type="dxa"/>
            <w:gridSpan w:val="4"/>
            <w:shd w:val="clear" w:color="auto" w:fill="auto"/>
            <w:vAlign w:val="center"/>
          </w:tcPr>
          <w:p w14:paraId="776E7310" w14:textId="77777777" w:rsidR="00DC0C68" w:rsidRPr="00D553A8" w:rsidRDefault="00DC0C68" w:rsidP="000E35A4">
            <w:pPr>
              <w:spacing w:line="276" w:lineRule="auto"/>
            </w:pPr>
            <w:r>
              <w:t xml:space="preserve">4. </w:t>
            </w:r>
            <w:r w:rsidRPr="00D553A8">
              <w:t xml:space="preserve">Extending specific service coverage to include </w:t>
            </w:r>
            <w:r>
              <w:t>privately</w:t>
            </w:r>
            <w:r w:rsidRPr="00D553A8">
              <w:t xml:space="preserve"> funded care</w:t>
            </w:r>
            <w:r>
              <w:t>.</w:t>
            </w:r>
          </w:p>
        </w:tc>
      </w:tr>
      <w:tr w:rsidR="00DC0C68" w:rsidRPr="006D6FE3" w14:paraId="7236F265" w14:textId="77777777" w:rsidTr="000E35A4">
        <w:trPr>
          <w:trHeight w:val="1043"/>
        </w:trPr>
        <w:tc>
          <w:tcPr>
            <w:tcW w:w="4535" w:type="dxa"/>
            <w:shd w:val="clear" w:color="auto" w:fill="auto"/>
          </w:tcPr>
          <w:p w14:paraId="568B42A6" w14:textId="77777777" w:rsidR="00DC0C68" w:rsidRPr="006D6FE3"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t>I</w:t>
            </w:r>
            <w:r w:rsidRPr="0062364A">
              <w:t>nclu</w:t>
            </w:r>
            <w:r>
              <w:t>sion of</w:t>
            </w:r>
            <w:r w:rsidRPr="0062364A">
              <w:t xml:space="preserve"> privately funded care</w:t>
            </w:r>
            <w:r>
              <w:t>.</w:t>
            </w:r>
          </w:p>
        </w:tc>
        <w:tc>
          <w:tcPr>
            <w:tcW w:w="1701" w:type="dxa"/>
            <w:shd w:val="clear" w:color="auto" w:fill="auto"/>
            <w:noWrap/>
          </w:tcPr>
          <w:p w14:paraId="3788AF93" w14:textId="77777777" w:rsidR="00DC0C68" w:rsidRPr="008A1ED4"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t>Up to £</w:t>
            </w:r>
            <w:r w:rsidRPr="00A05802">
              <w:t>300,000</w:t>
            </w:r>
          </w:p>
        </w:tc>
        <w:tc>
          <w:tcPr>
            <w:tcW w:w="1701" w:type="dxa"/>
            <w:shd w:val="clear" w:color="auto" w:fill="auto"/>
            <w:noWrap/>
          </w:tcPr>
          <w:p w14:paraId="11C46901" w14:textId="77777777" w:rsidR="00DC0C68" w:rsidRPr="008A1ED4"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t xml:space="preserve">Up to </w:t>
            </w:r>
            <w:r w:rsidRPr="00A05802">
              <w:t>£360,000</w:t>
            </w:r>
          </w:p>
        </w:tc>
        <w:tc>
          <w:tcPr>
            <w:tcW w:w="5669" w:type="dxa"/>
            <w:shd w:val="clear" w:color="auto" w:fill="auto"/>
          </w:tcPr>
          <w:p w14:paraId="36FD1398" w14:textId="77777777" w:rsidR="00DC0C68" w:rsidRPr="00D553A8" w:rsidRDefault="00DC0C68" w:rsidP="000E35A4">
            <w:pPr>
              <w:spacing w:line="276" w:lineRule="auto"/>
            </w:pPr>
            <w:r w:rsidRPr="00D553A8">
              <w:t>At the request of individual independent sector hospitals and/or a request from the Independent Healthcare Providers Network or other similar organisations.</w:t>
            </w:r>
          </w:p>
          <w:p w14:paraId="28C54638" w14:textId="77777777" w:rsidR="00DC0C68" w:rsidRDefault="00DC0C68" w:rsidP="000E35A4">
            <w:pPr>
              <w:widowControl/>
              <w:autoSpaceDE/>
              <w:autoSpaceDN/>
              <w:spacing w:line="276" w:lineRule="auto"/>
            </w:pPr>
            <w:r w:rsidRPr="00D553A8">
              <w:t xml:space="preserve">If the supplier agrees to the extension, the contract shall be so amended provided that such amendment will not change the overall nature and balance of risk of the contract, and on the basis that any increase in costs is on an </w:t>
            </w:r>
            <w:proofErr w:type="gramStart"/>
            <w:r w:rsidRPr="00D553A8">
              <w:t>open-book</w:t>
            </w:r>
            <w:proofErr w:type="gramEnd"/>
            <w:r w:rsidRPr="00D553A8">
              <w:t xml:space="preserve"> basis, or uses the same pricing profile as in the initial contract, so as to achieve best value.</w:t>
            </w:r>
          </w:p>
          <w:p w14:paraId="523C1C5D" w14:textId="77777777" w:rsidR="00DC0C68"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p>
          <w:p w14:paraId="25E58BF5" w14:textId="77777777" w:rsidR="00DC0C68" w:rsidRPr="006D6FE3"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p>
        </w:tc>
      </w:tr>
      <w:tr w:rsidR="00DC0C68" w:rsidRPr="006D6FE3" w14:paraId="69D1E682" w14:textId="77777777" w:rsidTr="00E931C2">
        <w:trPr>
          <w:trHeight w:val="567"/>
        </w:trPr>
        <w:tc>
          <w:tcPr>
            <w:tcW w:w="13606" w:type="dxa"/>
            <w:gridSpan w:val="4"/>
            <w:shd w:val="clear" w:color="auto" w:fill="auto"/>
            <w:vAlign w:val="center"/>
          </w:tcPr>
          <w:p w14:paraId="40FDF5F7" w14:textId="77777777" w:rsidR="00DC0C68" w:rsidRPr="00D553A8" w:rsidRDefault="00DC0C68" w:rsidP="000E35A4">
            <w:pPr>
              <w:spacing w:line="276" w:lineRule="auto"/>
            </w:pPr>
            <w:r>
              <w:lastRenderedPageBreak/>
              <w:t xml:space="preserve">5. </w:t>
            </w:r>
            <w:r w:rsidRPr="00D553A8">
              <w:t>Additions or enhancements to the service delivery of the project</w:t>
            </w:r>
            <w:r>
              <w:t>.</w:t>
            </w:r>
          </w:p>
        </w:tc>
      </w:tr>
      <w:tr w:rsidR="00DC0C68" w:rsidRPr="006D6FE3" w14:paraId="5326C8CE" w14:textId="77777777" w:rsidTr="000E35A4">
        <w:trPr>
          <w:trHeight w:val="3345"/>
        </w:trPr>
        <w:tc>
          <w:tcPr>
            <w:tcW w:w="4535" w:type="dxa"/>
            <w:shd w:val="clear" w:color="auto" w:fill="auto"/>
          </w:tcPr>
          <w:p w14:paraId="34850B01" w14:textId="77777777" w:rsidR="00DC0C68" w:rsidRPr="006D6FE3"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t>T</w:t>
            </w:r>
            <w:r w:rsidRPr="00D553A8">
              <w:t>he funder may require non-material changes to the scope of the project to enhance the service provision</w:t>
            </w:r>
            <w:r>
              <w:t>.</w:t>
            </w:r>
          </w:p>
        </w:tc>
        <w:tc>
          <w:tcPr>
            <w:tcW w:w="1701" w:type="dxa"/>
            <w:shd w:val="clear" w:color="auto" w:fill="auto"/>
            <w:noWrap/>
          </w:tcPr>
          <w:p w14:paraId="6F03EFEA" w14:textId="77777777" w:rsidR="00DC0C68" w:rsidRPr="008A1ED4"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t xml:space="preserve">Up to </w:t>
            </w:r>
            <w:r w:rsidRPr="00A05802">
              <w:t>£1,000,000</w:t>
            </w:r>
          </w:p>
        </w:tc>
        <w:tc>
          <w:tcPr>
            <w:tcW w:w="1701" w:type="dxa"/>
            <w:shd w:val="clear" w:color="auto" w:fill="auto"/>
            <w:noWrap/>
          </w:tcPr>
          <w:p w14:paraId="0517D9F3" w14:textId="77777777" w:rsidR="00DC0C68" w:rsidRPr="008A1ED4"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t xml:space="preserve">Up to </w:t>
            </w:r>
            <w:r w:rsidRPr="00A05802">
              <w:t>£1,200,000</w:t>
            </w:r>
          </w:p>
        </w:tc>
        <w:tc>
          <w:tcPr>
            <w:tcW w:w="5669" w:type="dxa"/>
            <w:shd w:val="clear" w:color="auto" w:fill="auto"/>
          </w:tcPr>
          <w:p w14:paraId="7F10EF27" w14:textId="77777777" w:rsidR="00DC0C68" w:rsidRPr="00D553A8" w:rsidRDefault="00DC0C68" w:rsidP="000E35A4">
            <w:pPr>
              <w:spacing w:line="276" w:lineRule="auto"/>
            </w:pPr>
            <w:r w:rsidRPr="00D553A8">
              <w:t>Funder request to be discussed with the supplier.</w:t>
            </w:r>
          </w:p>
          <w:p w14:paraId="409377A4" w14:textId="77777777" w:rsidR="00DC0C68" w:rsidRDefault="00DC0C68" w:rsidP="000E35A4">
            <w:pPr>
              <w:widowControl/>
              <w:autoSpaceDE/>
              <w:autoSpaceDN/>
              <w:spacing w:line="276" w:lineRule="auto"/>
            </w:pPr>
            <w:r w:rsidRPr="00D553A8">
              <w:t>In these circumstances, HQIP will propose amending the contract further to the funder's required non-material changes, and if the supplier agrees the contract will be so amended provided that such amendment will not change the overall nature and balance of risk of the contract, and on the basis that any increase in costs is on an open-book basis, or uses the same pricing profile as in the initial contract, so as to achieve best value.</w:t>
            </w:r>
          </w:p>
          <w:p w14:paraId="63A98A1C" w14:textId="77777777" w:rsidR="00DC0C68" w:rsidRDefault="00DC0C68" w:rsidP="000E35A4">
            <w:pPr>
              <w:widowControl/>
              <w:autoSpaceDE/>
              <w:autoSpaceDN/>
              <w:spacing w:line="276" w:lineRule="auto"/>
              <w:rPr>
                <w:color w:val="000000"/>
                <w:sz w:val="20"/>
                <w:szCs w:val="20"/>
                <w:lang w:eastAsia="en-GB"/>
              </w:rPr>
            </w:pPr>
          </w:p>
          <w:p w14:paraId="18E1989E" w14:textId="77777777" w:rsidR="00DC0C68" w:rsidRDefault="00DC0C68" w:rsidP="000E35A4">
            <w:pPr>
              <w:widowControl/>
              <w:autoSpaceDE/>
              <w:autoSpaceDN/>
              <w:spacing w:line="276" w:lineRule="auto"/>
              <w:rPr>
                <w:color w:val="000000"/>
                <w:sz w:val="20"/>
                <w:szCs w:val="20"/>
                <w:lang w:eastAsia="en-GB"/>
              </w:rPr>
            </w:pPr>
          </w:p>
          <w:p w14:paraId="47B3ADFE" w14:textId="77777777" w:rsidR="00DC0C68" w:rsidRPr="006D6FE3"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p>
        </w:tc>
      </w:tr>
      <w:tr w:rsidR="00DC0C68" w:rsidRPr="006D6FE3" w14:paraId="1DDA9756" w14:textId="77777777" w:rsidTr="00E931C2">
        <w:trPr>
          <w:trHeight w:val="567"/>
        </w:trPr>
        <w:tc>
          <w:tcPr>
            <w:tcW w:w="13606" w:type="dxa"/>
            <w:gridSpan w:val="4"/>
            <w:shd w:val="clear" w:color="auto" w:fill="auto"/>
            <w:vAlign w:val="center"/>
          </w:tcPr>
          <w:p w14:paraId="11F27762" w14:textId="77777777" w:rsidR="00DC0C68" w:rsidRPr="00D553A8" w:rsidRDefault="00DC0C68" w:rsidP="000E35A4">
            <w:pPr>
              <w:spacing w:line="276" w:lineRule="auto"/>
            </w:pPr>
            <w:r w:rsidRPr="00D553A8">
              <w:t>6. Additional quality improvement initiatives either related to or linked with the project</w:t>
            </w:r>
            <w:r>
              <w:t>.</w:t>
            </w:r>
          </w:p>
        </w:tc>
      </w:tr>
      <w:tr w:rsidR="00DC0C68" w:rsidRPr="006D6FE3" w14:paraId="01B52A4D" w14:textId="77777777" w:rsidTr="000E35A4">
        <w:trPr>
          <w:trHeight w:val="3345"/>
        </w:trPr>
        <w:tc>
          <w:tcPr>
            <w:tcW w:w="4535" w:type="dxa"/>
            <w:shd w:val="clear" w:color="auto" w:fill="auto"/>
          </w:tcPr>
          <w:p w14:paraId="65EC8293" w14:textId="77777777" w:rsidR="00DC0C68" w:rsidRPr="006D6FE3"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rsidRPr="00D553A8">
              <w:t>HQIP may wish to work with the supplier to identify improvements to the programme as objectives change with the maturity of the programme.</w:t>
            </w:r>
          </w:p>
        </w:tc>
        <w:tc>
          <w:tcPr>
            <w:tcW w:w="1701" w:type="dxa"/>
            <w:shd w:val="clear" w:color="auto" w:fill="auto"/>
            <w:noWrap/>
          </w:tcPr>
          <w:p w14:paraId="3D5A346B" w14:textId="77777777" w:rsidR="00DC0C68" w:rsidRPr="008A1ED4"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t xml:space="preserve">Up to </w:t>
            </w:r>
            <w:r w:rsidRPr="00A05802">
              <w:t>£300,000</w:t>
            </w:r>
          </w:p>
        </w:tc>
        <w:tc>
          <w:tcPr>
            <w:tcW w:w="1701" w:type="dxa"/>
            <w:shd w:val="clear" w:color="auto" w:fill="auto"/>
            <w:noWrap/>
          </w:tcPr>
          <w:p w14:paraId="4899BFBE" w14:textId="77777777" w:rsidR="00DC0C68" w:rsidRPr="008A1ED4"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t xml:space="preserve">Up to </w:t>
            </w:r>
            <w:r w:rsidRPr="00A05802">
              <w:t>£360,000</w:t>
            </w:r>
          </w:p>
        </w:tc>
        <w:tc>
          <w:tcPr>
            <w:tcW w:w="5669" w:type="dxa"/>
            <w:shd w:val="clear" w:color="auto" w:fill="auto"/>
          </w:tcPr>
          <w:p w14:paraId="4D5DB1D1" w14:textId="77777777" w:rsidR="00DC0C68" w:rsidRPr="00D553A8" w:rsidRDefault="00DC0C68" w:rsidP="000E35A4">
            <w:pPr>
              <w:spacing w:line="276" w:lineRule="auto"/>
            </w:pPr>
            <w:r w:rsidRPr="00D553A8">
              <w:t>Funder and HQIP collaboration with the supplier through contract management meetings and touchpoints.</w:t>
            </w:r>
          </w:p>
          <w:p w14:paraId="664B9FDA" w14:textId="77777777" w:rsidR="00DC0C68" w:rsidRDefault="00DC0C68" w:rsidP="000E35A4">
            <w:pPr>
              <w:widowControl/>
              <w:autoSpaceDE/>
              <w:autoSpaceDN/>
              <w:spacing w:line="276" w:lineRule="auto"/>
            </w:pPr>
            <w:r w:rsidRPr="00D553A8">
              <w:t>In these circumstances, HQIP will propose amending the contract, and if the supplier agrees the contract will be so amended provided that such amendment will not change the overall nature and balance of risk of the contract, and on the basis that any increase in costs is on an open-book basis, or uses the same pricing profile as in the initial contract, so as to achieve best value.</w:t>
            </w:r>
          </w:p>
          <w:p w14:paraId="3B91DDB0" w14:textId="77777777" w:rsidR="00DC0C68" w:rsidRDefault="00DC0C68" w:rsidP="000E35A4">
            <w:pPr>
              <w:widowControl/>
              <w:autoSpaceDE/>
              <w:autoSpaceDN/>
              <w:spacing w:line="276" w:lineRule="auto"/>
              <w:rPr>
                <w:color w:val="000000"/>
                <w:sz w:val="20"/>
                <w:szCs w:val="20"/>
                <w:lang w:eastAsia="en-GB"/>
              </w:rPr>
            </w:pPr>
          </w:p>
          <w:p w14:paraId="293E8B2A" w14:textId="77777777" w:rsidR="00DC0C68" w:rsidRDefault="00DC0C68" w:rsidP="000E35A4">
            <w:pPr>
              <w:widowControl/>
              <w:autoSpaceDE/>
              <w:autoSpaceDN/>
              <w:spacing w:line="276" w:lineRule="auto"/>
              <w:rPr>
                <w:color w:val="000000"/>
                <w:sz w:val="20"/>
                <w:szCs w:val="20"/>
                <w:lang w:eastAsia="en-GB"/>
              </w:rPr>
            </w:pPr>
          </w:p>
          <w:p w14:paraId="71A343C1" w14:textId="77777777" w:rsidR="00DC0C68" w:rsidRDefault="00DC0C68" w:rsidP="000E35A4">
            <w:pPr>
              <w:widowControl/>
              <w:autoSpaceDE/>
              <w:autoSpaceDN/>
              <w:spacing w:line="276" w:lineRule="auto"/>
              <w:rPr>
                <w:color w:val="000000"/>
                <w:sz w:val="20"/>
                <w:szCs w:val="20"/>
                <w:lang w:eastAsia="en-GB"/>
              </w:rPr>
            </w:pPr>
          </w:p>
          <w:p w14:paraId="1E7B77F1" w14:textId="77777777" w:rsidR="00DC0C68" w:rsidRPr="006D6FE3"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p>
        </w:tc>
      </w:tr>
      <w:tr w:rsidR="00DC0C68" w:rsidRPr="006D6FE3" w14:paraId="7A344532" w14:textId="77777777" w:rsidTr="000E35A4">
        <w:trPr>
          <w:trHeight w:val="482"/>
        </w:trPr>
        <w:tc>
          <w:tcPr>
            <w:tcW w:w="13606" w:type="dxa"/>
            <w:gridSpan w:val="4"/>
            <w:shd w:val="clear" w:color="auto" w:fill="auto"/>
            <w:vAlign w:val="center"/>
          </w:tcPr>
          <w:p w14:paraId="1E2485F8" w14:textId="77777777" w:rsidR="00DC0C68" w:rsidRPr="00D553A8" w:rsidRDefault="00DC0C68" w:rsidP="000E35A4">
            <w:pPr>
              <w:spacing w:line="276" w:lineRule="auto"/>
            </w:pPr>
            <w:r w:rsidRPr="00D553A8">
              <w:lastRenderedPageBreak/>
              <w:t>7. Inclusion of additional national or international funders</w:t>
            </w:r>
            <w:r>
              <w:t>.</w:t>
            </w:r>
          </w:p>
        </w:tc>
      </w:tr>
      <w:tr w:rsidR="00DC0C68" w:rsidRPr="006D6FE3" w14:paraId="20C8AB0C" w14:textId="77777777" w:rsidTr="000E35A4">
        <w:trPr>
          <w:trHeight w:val="7427"/>
        </w:trPr>
        <w:tc>
          <w:tcPr>
            <w:tcW w:w="4535" w:type="dxa"/>
            <w:shd w:val="clear" w:color="auto" w:fill="auto"/>
          </w:tcPr>
          <w:p w14:paraId="424F98A8" w14:textId="77777777" w:rsidR="00DC0C68" w:rsidRPr="003C4B6F" w:rsidRDefault="00DC0C68" w:rsidP="000E35A4">
            <w:pPr>
              <w:spacing w:line="276" w:lineRule="auto"/>
            </w:pPr>
            <w:r w:rsidRPr="003C4B6F">
              <w:t xml:space="preserve">HQIP may amend the contract to include the addition of further Devolved Nations/Crown Dependencies/international funders and participants in the programme commissioned. The thresholds in table 2 are indicative ranges of the percentage proportion that a Devolved Nation/Crown Dependencies would add financially to the contract value. The minimum value range would relate to no aspirational intent being invoked; the higher value range would relate to all aspirational intent being invoked including a </w:t>
            </w:r>
            <w:proofErr w:type="gramStart"/>
            <w:r w:rsidRPr="003C4B6F">
              <w:t>2 year</w:t>
            </w:r>
            <w:proofErr w:type="gramEnd"/>
            <w:r w:rsidRPr="003C4B6F">
              <w:t xml:space="preserve"> extension.  This % has been calculated based upon the Barnett Formula.</w:t>
            </w:r>
          </w:p>
          <w:p w14:paraId="02A04ADD" w14:textId="77777777" w:rsidR="00DC0C68" w:rsidRPr="003C4B6F" w:rsidRDefault="00DC0C68" w:rsidP="000E35A4">
            <w:pPr>
              <w:spacing w:line="276" w:lineRule="auto"/>
            </w:pPr>
          </w:p>
          <w:p w14:paraId="5A64ADFD" w14:textId="77777777" w:rsidR="00DC0C68" w:rsidRPr="003C4B6F" w:rsidRDefault="00DC0C68" w:rsidP="000E35A4">
            <w:pPr>
              <w:spacing w:line="276" w:lineRule="auto"/>
            </w:pPr>
            <w:r w:rsidRPr="003C4B6F">
              <w:t>See table 2 for Devolved Nations and Crown Dependencies, plus up to £20,000 for set-up costs per each new addition.</w:t>
            </w:r>
          </w:p>
          <w:p w14:paraId="6373BB78" w14:textId="77777777" w:rsidR="00DC0C68" w:rsidRPr="003C4B6F" w:rsidRDefault="00DC0C68" w:rsidP="000E35A4">
            <w:pPr>
              <w:spacing w:line="276" w:lineRule="auto"/>
            </w:pPr>
          </w:p>
          <w:p w14:paraId="2BE8E0A3" w14:textId="77777777" w:rsidR="00DC0C68" w:rsidRDefault="00DC0C68" w:rsidP="000E35A4">
            <w:pPr>
              <w:widowControl/>
              <w:autoSpaceDE/>
              <w:autoSpaceDN/>
              <w:spacing w:line="276" w:lineRule="auto"/>
            </w:pPr>
            <w:r w:rsidRPr="003C4B6F">
              <w:t xml:space="preserve">No formula, </w:t>
            </w:r>
            <w:proofErr w:type="gramStart"/>
            <w:r w:rsidRPr="003C4B6F">
              <w:t>similar to</w:t>
            </w:r>
            <w:proofErr w:type="gramEnd"/>
            <w:r w:rsidRPr="003C4B6F">
              <w:t xml:space="preserve"> the Barnett Formula, exists for calculating international % funding.  International funding is currently unknown. This will be assessed on a </w:t>
            </w:r>
            <w:proofErr w:type="gramStart"/>
            <w:r w:rsidRPr="003C4B6F">
              <w:t>case by case</w:t>
            </w:r>
            <w:proofErr w:type="gramEnd"/>
            <w:r w:rsidRPr="003C4B6F">
              <w:t xml:space="preserve"> basis.</w:t>
            </w:r>
          </w:p>
          <w:p w14:paraId="6000E408" w14:textId="77777777" w:rsidR="00DC0C68" w:rsidRDefault="00DC0C68" w:rsidP="000E35A4">
            <w:pPr>
              <w:widowControl/>
              <w:autoSpaceDE/>
              <w:autoSpaceDN/>
              <w:spacing w:line="276" w:lineRule="auto"/>
              <w:rPr>
                <w:color w:val="000000"/>
                <w:sz w:val="20"/>
                <w:szCs w:val="20"/>
                <w:lang w:eastAsia="en-GB"/>
              </w:rPr>
            </w:pPr>
          </w:p>
          <w:p w14:paraId="0A5C8BB0" w14:textId="77777777" w:rsidR="00DC0C68" w:rsidRDefault="00DC0C68" w:rsidP="000E35A4">
            <w:pPr>
              <w:widowControl/>
              <w:autoSpaceDE/>
              <w:autoSpaceDN/>
              <w:spacing w:line="276" w:lineRule="auto"/>
              <w:rPr>
                <w:color w:val="000000"/>
                <w:sz w:val="20"/>
                <w:szCs w:val="20"/>
                <w:lang w:eastAsia="en-GB"/>
              </w:rPr>
            </w:pPr>
          </w:p>
          <w:p w14:paraId="4F1B6871" w14:textId="77777777" w:rsidR="00DC0C68" w:rsidRDefault="00DC0C68" w:rsidP="000E35A4">
            <w:pPr>
              <w:widowControl/>
              <w:autoSpaceDE/>
              <w:autoSpaceDN/>
              <w:spacing w:line="276" w:lineRule="auto"/>
              <w:rPr>
                <w:color w:val="000000"/>
                <w:sz w:val="20"/>
                <w:szCs w:val="20"/>
                <w:lang w:eastAsia="en-GB"/>
              </w:rPr>
            </w:pPr>
          </w:p>
          <w:p w14:paraId="69EBE566" w14:textId="77777777" w:rsidR="00DC0C68" w:rsidRPr="003C4B6F"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p>
        </w:tc>
        <w:tc>
          <w:tcPr>
            <w:tcW w:w="1701" w:type="dxa"/>
            <w:shd w:val="clear" w:color="auto" w:fill="auto"/>
            <w:noWrap/>
          </w:tcPr>
          <w:p w14:paraId="19CC6F18" w14:textId="77777777" w:rsidR="00DC0C68" w:rsidRPr="003C4B6F"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t xml:space="preserve">Up to </w:t>
            </w:r>
            <w:r w:rsidRPr="003C4B6F">
              <w:t>£833,563</w:t>
            </w:r>
          </w:p>
        </w:tc>
        <w:tc>
          <w:tcPr>
            <w:tcW w:w="1701" w:type="dxa"/>
            <w:shd w:val="clear" w:color="auto" w:fill="auto"/>
            <w:noWrap/>
          </w:tcPr>
          <w:p w14:paraId="52CEBAEB" w14:textId="77777777" w:rsidR="00DC0C68" w:rsidRPr="003C4B6F"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t xml:space="preserve">Up to </w:t>
            </w:r>
            <w:r w:rsidRPr="003C4B6F">
              <w:t>£1,000,276</w:t>
            </w:r>
          </w:p>
        </w:tc>
        <w:tc>
          <w:tcPr>
            <w:tcW w:w="5669" w:type="dxa"/>
            <w:shd w:val="clear" w:color="auto" w:fill="auto"/>
          </w:tcPr>
          <w:p w14:paraId="5FE5A2FC" w14:textId="77777777" w:rsidR="00DC0C68" w:rsidRDefault="00DC0C68" w:rsidP="000E35A4">
            <w:pPr>
              <w:spacing w:line="276" w:lineRule="auto"/>
            </w:pPr>
            <w:r w:rsidRPr="003C4B6F">
              <w:t>Request of Devolved Nations, Crown Dependencies or other international countries.</w:t>
            </w:r>
          </w:p>
          <w:p w14:paraId="07AA80AE" w14:textId="77777777" w:rsidR="00DC0C68" w:rsidRPr="003C4B6F" w:rsidRDefault="00DC0C68" w:rsidP="000E35A4">
            <w:pPr>
              <w:spacing w:line="276" w:lineRule="auto"/>
            </w:pPr>
          </w:p>
          <w:p w14:paraId="3317529A" w14:textId="77777777" w:rsidR="00DC0C68" w:rsidRPr="003C4B6F"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rsidRPr="003C4B6F">
              <w:t xml:space="preserve">If the supplier agrees to the extension, the contract shall be so amended provided that such amendment will not change the overall nature and balance of risk of the contract, and on the basis that any increase in costs is on an </w:t>
            </w:r>
            <w:proofErr w:type="gramStart"/>
            <w:r w:rsidRPr="003C4B6F">
              <w:t>open-book</w:t>
            </w:r>
            <w:proofErr w:type="gramEnd"/>
            <w:r w:rsidRPr="003C4B6F">
              <w:t xml:space="preserve"> basis, or uses the same pricing profile as in the initial contract, so as to achieve best value.</w:t>
            </w:r>
          </w:p>
        </w:tc>
      </w:tr>
      <w:tr w:rsidR="00DC0C68" w:rsidRPr="006D6FE3" w14:paraId="1450ED48" w14:textId="77777777" w:rsidTr="000E35A4">
        <w:trPr>
          <w:trHeight w:val="482"/>
        </w:trPr>
        <w:tc>
          <w:tcPr>
            <w:tcW w:w="13606" w:type="dxa"/>
            <w:gridSpan w:val="4"/>
            <w:shd w:val="clear" w:color="auto" w:fill="auto"/>
            <w:vAlign w:val="center"/>
          </w:tcPr>
          <w:p w14:paraId="4D56C1AD" w14:textId="77777777" w:rsidR="00DC0C68" w:rsidRPr="000B41F2" w:rsidRDefault="00DC0C68" w:rsidP="000E35A4">
            <w:pPr>
              <w:widowControl/>
              <w:autoSpaceDE/>
              <w:autoSpaceDN/>
              <w:spacing w:line="276" w:lineRule="auto"/>
            </w:pPr>
            <w:r>
              <w:lastRenderedPageBreak/>
              <w:t>8. Changes in line with national policy.</w:t>
            </w:r>
          </w:p>
        </w:tc>
      </w:tr>
      <w:tr w:rsidR="00DC0C68" w:rsidRPr="006D6FE3" w14:paraId="671DF22A" w14:textId="77777777" w:rsidTr="000E35A4">
        <w:trPr>
          <w:trHeight w:val="1043"/>
        </w:trPr>
        <w:tc>
          <w:tcPr>
            <w:tcW w:w="4535" w:type="dxa"/>
            <w:shd w:val="clear" w:color="auto" w:fill="auto"/>
          </w:tcPr>
          <w:p w14:paraId="7FAB980D" w14:textId="77777777" w:rsidR="00DC0C68" w:rsidRDefault="00DC0C68" w:rsidP="000E35A4">
            <w:pPr>
              <w:spacing w:line="276" w:lineRule="auto"/>
            </w:pPr>
            <w:r w:rsidRPr="000B41F2">
              <w:t>As part of the National Clinical Audit and Patient Outcomes Programme, this project is required to remain responsive to future changes in clinical standards, service delivery and national clinical policy priorities</w:t>
            </w:r>
            <w:r>
              <w:t>.</w:t>
            </w:r>
          </w:p>
          <w:p w14:paraId="74F53410" w14:textId="77777777" w:rsidR="00DC0C68" w:rsidRPr="006D6FE3"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p>
        </w:tc>
        <w:tc>
          <w:tcPr>
            <w:tcW w:w="1701" w:type="dxa"/>
            <w:shd w:val="clear" w:color="auto" w:fill="auto"/>
            <w:noWrap/>
          </w:tcPr>
          <w:p w14:paraId="7DDB4810" w14:textId="77777777" w:rsidR="00DC0C68" w:rsidRPr="008A1ED4"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t>Up to £1,000,000</w:t>
            </w:r>
          </w:p>
        </w:tc>
        <w:tc>
          <w:tcPr>
            <w:tcW w:w="1701" w:type="dxa"/>
            <w:shd w:val="clear" w:color="auto" w:fill="auto"/>
            <w:noWrap/>
          </w:tcPr>
          <w:p w14:paraId="60689090" w14:textId="77777777" w:rsidR="00DC0C68" w:rsidRPr="008A1ED4"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t>Up to £1,200,000</w:t>
            </w:r>
          </w:p>
        </w:tc>
        <w:tc>
          <w:tcPr>
            <w:tcW w:w="5669" w:type="dxa"/>
            <w:shd w:val="clear" w:color="auto" w:fill="auto"/>
          </w:tcPr>
          <w:p w14:paraId="1ED72077" w14:textId="77777777" w:rsidR="00DC0C68" w:rsidRDefault="00DC0C68" w:rsidP="000E35A4">
            <w:pPr>
              <w:widowControl/>
              <w:autoSpaceDE/>
              <w:autoSpaceDN/>
              <w:spacing w:line="276" w:lineRule="auto"/>
            </w:pPr>
            <w:r w:rsidRPr="000B41F2">
              <w:t xml:space="preserve">Where these can be identified at the point of tender, details are included. However, it is not possible to anticipate all future changes at the outset, and based on </w:t>
            </w:r>
            <w:proofErr w:type="gramStart"/>
            <w:r w:rsidRPr="000B41F2">
              <w:t>past experience</w:t>
            </w:r>
            <w:proofErr w:type="gramEnd"/>
            <w:r w:rsidRPr="000B41F2">
              <w:t xml:space="preserve">, an additional </w:t>
            </w:r>
            <w:r>
              <w:t>amount</w:t>
            </w:r>
            <w:r w:rsidRPr="000B41F2">
              <w:t xml:space="preserve"> is added to the potential ceiling value</w:t>
            </w:r>
            <w:r>
              <w:t xml:space="preserve">. If the supplier agrees to the extension the contract shall be so amended provided that such amendment will not </w:t>
            </w:r>
            <w:r w:rsidRPr="00EC2388">
              <w:t>chang</w:t>
            </w:r>
            <w:r>
              <w:t xml:space="preserve">e </w:t>
            </w:r>
            <w:r w:rsidRPr="00EC2388">
              <w:t>the overall nature and balance of risk of the contract</w:t>
            </w:r>
            <w:r>
              <w:t>,</w:t>
            </w:r>
            <w:r w:rsidRPr="00EC2388">
              <w:t xml:space="preserve"> and on the basis that </w:t>
            </w:r>
            <w:r>
              <w:t>any</w:t>
            </w:r>
            <w:r w:rsidRPr="00EC2388">
              <w:t xml:space="preserve"> increase in costs is on an </w:t>
            </w:r>
            <w:proofErr w:type="gramStart"/>
            <w:r w:rsidRPr="00EC2388">
              <w:t>open-book</w:t>
            </w:r>
            <w:proofErr w:type="gramEnd"/>
            <w:r w:rsidRPr="00EC2388">
              <w:t xml:space="preserve"> basis, or uses the same pricing profile as in the initial contract, so as to achieve best value</w:t>
            </w:r>
            <w:r>
              <w:t>.</w:t>
            </w:r>
          </w:p>
          <w:p w14:paraId="267EBCCE" w14:textId="77777777" w:rsidR="00DC0C68" w:rsidRPr="006D6FE3"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p>
        </w:tc>
      </w:tr>
      <w:tr w:rsidR="00DC0C68" w:rsidRPr="006D6FE3" w14:paraId="156018E7" w14:textId="77777777" w:rsidTr="000E35A4">
        <w:trPr>
          <w:trHeight w:val="1814"/>
        </w:trPr>
        <w:tc>
          <w:tcPr>
            <w:tcW w:w="13606" w:type="dxa"/>
            <w:gridSpan w:val="4"/>
            <w:shd w:val="clear" w:color="auto" w:fill="auto"/>
          </w:tcPr>
          <w:p w14:paraId="02E03278" w14:textId="77777777" w:rsidR="00DC0C68" w:rsidRPr="00415A50" w:rsidRDefault="00DC0C68" w:rsidP="00E931C2">
            <w:pPr>
              <w:pStyle w:val="Heading3"/>
              <w:numPr>
                <w:ilvl w:val="0"/>
                <w:numId w:val="0"/>
              </w:numPr>
              <w:ind w:left="431" w:hanging="431"/>
              <w:rPr>
                <w:b/>
                <w:bCs/>
                <w:sz w:val="22"/>
                <w:szCs w:val="22"/>
              </w:rPr>
            </w:pPr>
            <w:r w:rsidRPr="00415A50">
              <w:rPr>
                <w:b/>
                <w:bCs/>
                <w:sz w:val="22"/>
                <w:szCs w:val="22"/>
              </w:rPr>
              <w:t>Epilepsy specific aspirational intent</w:t>
            </w:r>
          </w:p>
          <w:p w14:paraId="6DFCC6B6" w14:textId="77777777" w:rsidR="00DC0C68" w:rsidRPr="006D6FE3" w:rsidRDefault="00DC0C68" w:rsidP="000E35A4">
            <w:pPr>
              <w:spacing w:line="276" w:lineRule="auto"/>
              <w:rPr>
                <w:rFonts w:asciiTheme="minorHAnsi" w:eastAsia="Times New Roman" w:hAnsiTheme="minorHAnsi" w:cstheme="minorHAnsi"/>
                <w:color w:val="000000"/>
                <w:sz w:val="20"/>
                <w:szCs w:val="20"/>
                <w:lang w:eastAsia="en-GB"/>
              </w:rPr>
            </w:pPr>
            <w:r>
              <w:t>F</w:t>
            </w:r>
            <w:r w:rsidRPr="00AB7D62">
              <w:t xml:space="preserve">unders have identified several epilepsy-specific areas for potential future development. These reflect long-term strategic ambitions that align with </w:t>
            </w:r>
            <w:r>
              <w:t>national policy and initiatives</w:t>
            </w:r>
            <w:r w:rsidRPr="00AB7D62">
              <w:t>, but which cannot be resourced within the current funding envelope. They are included here to signal the intended direction of travel and to ensure that future opportunities for enhancement can be accommodated through contract variation or extension, should additional funding become available.</w:t>
            </w:r>
          </w:p>
        </w:tc>
      </w:tr>
      <w:tr w:rsidR="00DC0C68" w:rsidRPr="006D6FE3" w14:paraId="22F33F93" w14:textId="77777777" w:rsidTr="000E35A4">
        <w:trPr>
          <w:trHeight w:val="482"/>
        </w:trPr>
        <w:tc>
          <w:tcPr>
            <w:tcW w:w="13606" w:type="dxa"/>
            <w:gridSpan w:val="4"/>
            <w:shd w:val="clear" w:color="auto" w:fill="auto"/>
            <w:vAlign w:val="center"/>
          </w:tcPr>
          <w:p w14:paraId="22A805CD" w14:textId="77777777" w:rsidR="00DC0C68" w:rsidRPr="00D553A8" w:rsidRDefault="00DC0C68" w:rsidP="000E35A4">
            <w:pPr>
              <w:widowControl/>
              <w:autoSpaceDE/>
              <w:autoSpaceDN/>
              <w:spacing w:line="276" w:lineRule="auto"/>
            </w:pPr>
            <w:r>
              <w:t xml:space="preserve">9. </w:t>
            </w:r>
            <w:r w:rsidRPr="00AB7D62">
              <w:t>Introduction of Patient-Reported Outcome Measures (PROMs) and Patient-Reported Experience Measures (PREMs)</w:t>
            </w:r>
            <w:r>
              <w:t>.</w:t>
            </w:r>
          </w:p>
        </w:tc>
      </w:tr>
      <w:tr w:rsidR="00DC0C68" w:rsidRPr="006D6FE3" w14:paraId="5F72FBB1" w14:textId="77777777" w:rsidTr="000E35A4">
        <w:trPr>
          <w:trHeight w:val="1043"/>
        </w:trPr>
        <w:tc>
          <w:tcPr>
            <w:tcW w:w="4535" w:type="dxa"/>
            <w:shd w:val="clear" w:color="auto" w:fill="auto"/>
          </w:tcPr>
          <w:p w14:paraId="4CDDCB60" w14:textId="77777777" w:rsidR="00DC0C68" w:rsidRDefault="00DC0C68" w:rsidP="000E35A4">
            <w:pPr>
              <w:widowControl/>
              <w:autoSpaceDE/>
              <w:autoSpaceDN/>
              <w:spacing w:line="276" w:lineRule="auto"/>
            </w:pPr>
            <w:r w:rsidRPr="00AB7D62">
              <w:t>Capture the lived experience and perceived impact of care directly from children, young people and families. This work would require development of appropriate tools, piloting and system integration, and could initially be delivered through a spotlight audit or targeted pilot.</w:t>
            </w:r>
          </w:p>
          <w:p w14:paraId="68DAA36C" w14:textId="77777777" w:rsidR="00DC0C68" w:rsidRPr="006D6FE3"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p>
        </w:tc>
        <w:tc>
          <w:tcPr>
            <w:tcW w:w="1701" w:type="dxa"/>
            <w:shd w:val="clear" w:color="auto" w:fill="auto"/>
            <w:noWrap/>
          </w:tcPr>
          <w:p w14:paraId="26BC48D8" w14:textId="77777777" w:rsidR="00DC0C68" w:rsidRPr="008A1ED4"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t>Up to £150,000</w:t>
            </w:r>
          </w:p>
        </w:tc>
        <w:tc>
          <w:tcPr>
            <w:tcW w:w="1701" w:type="dxa"/>
            <w:shd w:val="clear" w:color="auto" w:fill="auto"/>
            <w:noWrap/>
          </w:tcPr>
          <w:p w14:paraId="20433B72" w14:textId="77777777" w:rsidR="00DC0C68" w:rsidRPr="008A1ED4"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t>Up to £180,000</w:t>
            </w:r>
          </w:p>
        </w:tc>
        <w:tc>
          <w:tcPr>
            <w:tcW w:w="5669" w:type="dxa"/>
            <w:shd w:val="clear" w:color="auto" w:fill="auto"/>
          </w:tcPr>
          <w:p w14:paraId="4E4C4800" w14:textId="77777777" w:rsidR="00DC0C68" w:rsidRPr="006D6FE3"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rsidRPr="00D553A8">
              <w:t>In these circumstances, HQIP will propose amending the contract, and if the supplier agrees the contract will be so amended provided that such amendment will not change the overall nature and balance of risk of the contract, and on the basis that any increase in costs is on an open-book basis, or uses the same pricing profile as in the initial contract, so as to achieve best value.</w:t>
            </w:r>
          </w:p>
        </w:tc>
      </w:tr>
      <w:tr w:rsidR="00DC0C68" w:rsidRPr="006D6FE3" w14:paraId="6F57CEA5" w14:textId="77777777" w:rsidTr="000E35A4">
        <w:trPr>
          <w:trHeight w:val="482"/>
        </w:trPr>
        <w:tc>
          <w:tcPr>
            <w:tcW w:w="13606" w:type="dxa"/>
            <w:gridSpan w:val="4"/>
            <w:shd w:val="clear" w:color="auto" w:fill="auto"/>
            <w:vAlign w:val="center"/>
          </w:tcPr>
          <w:p w14:paraId="592EB161" w14:textId="77777777" w:rsidR="00DC0C68" w:rsidRPr="00D553A8" w:rsidRDefault="00DC0C68" w:rsidP="000E35A4">
            <w:pPr>
              <w:widowControl/>
              <w:autoSpaceDE/>
              <w:autoSpaceDN/>
              <w:spacing w:line="276" w:lineRule="auto"/>
            </w:pPr>
            <w:r>
              <w:lastRenderedPageBreak/>
              <w:t>10. Additional data collection of educational outcomes.</w:t>
            </w:r>
          </w:p>
        </w:tc>
      </w:tr>
      <w:tr w:rsidR="00DC0C68" w:rsidRPr="006D6FE3" w14:paraId="020400C3" w14:textId="77777777" w:rsidTr="000E35A4">
        <w:trPr>
          <w:trHeight w:val="3685"/>
        </w:trPr>
        <w:tc>
          <w:tcPr>
            <w:tcW w:w="4535" w:type="dxa"/>
            <w:shd w:val="clear" w:color="auto" w:fill="auto"/>
          </w:tcPr>
          <w:p w14:paraId="5FD07F6A" w14:textId="77777777" w:rsidR="00DC0C68" w:rsidRDefault="00DC0C68" w:rsidP="000E35A4">
            <w:pPr>
              <w:widowControl/>
              <w:autoSpaceDE/>
              <w:autoSpaceDN/>
              <w:spacing w:line="276" w:lineRule="auto"/>
            </w:pPr>
            <w:r>
              <w:t>Exploration of using educational outcomes (e.g. school attendance and participation) as a proxy for wellbeing and seizure control. Would require linkage or data-sharing with education datasets or local authorities to provide insight into the broader impact of epilepsy on children’s daily lives. Subject to feasibility of data-sharing agreements. Could be implemented via a spotlight audit/report or joint work with the Department for Education or local authorities.</w:t>
            </w:r>
          </w:p>
          <w:p w14:paraId="6A9A9C50" w14:textId="77777777" w:rsidR="00DC0C68" w:rsidRDefault="00DC0C68" w:rsidP="000E35A4">
            <w:pPr>
              <w:widowControl/>
              <w:autoSpaceDE/>
              <w:autoSpaceDN/>
              <w:spacing w:line="276" w:lineRule="auto"/>
            </w:pPr>
          </w:p>
          <w:p w14:paraId="169F8C2D" w14:textId="77777777" w:rsidR="00DC0C68" w:rsidRPr="006D6FE3"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p>
        </w:tc>
        <w:tc>
          <w:tcPr>
            <w:tcW w:w="1701" w:type="dxa"/>
            <w:shd w:val="clear" w:color="auto" w:fill="auto"/>
            <w:noWrap/>
          </w:tcPr>
          <w:p w14:paraId="01D1541F" w14:textId="77777777" w:rsidR="00DC0C68" w:rsidRPr="008A1ED4"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t>Up to £300,000</w:t>
            </w:r>
          </w:p>
        </w:tc>
        <w:tc>
          <w:tcPr>
            <w:tcW w:w="1701" w:type="dxa"/>
            <w:shd w:val="clear" w:color="auto" w:fill="auto"/>
            <w:noWrap/>
          </w:tcPr>
          <w:p w14:paraId="5694DE76" w14:textId="77777777" w:rsidR="00DC0C68" w:rsidRPr="008A1ED4"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t>Up to £360,000</w:t>
            </w:r>
          </w:p>
        </w:tc>
        <w:tc>
          <w:tcPr>
            <w:tcW w:w="5669" w:type="dxa"/>
            <w:shd w:val="clear" w:color="auto" w:fill="auto"/>
          </w:tcPr>
          <w:p w14:paraId="28272D5D" w14:textId="77777777" w:rsidR="00DC0C68" w:rsidRPr="006D6FE3"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rsidRPr="00D553A8">
              <w:t>In these circumstances, HQIP will propose amending the contract, and if the supplier agrees the contract will be so amended provided that such amendment will not change the overall nature and balance of risk of the contract, and on the basis that any increase in costs is on an open-book basis, or uses the same pricing profile as in the initial contract, so as to achieve best value.</w:t>
            </w:r>
          </w:p>
        </w:tc>
      </w:tr>
      <w:tr w:rsidR="00DC0C68" w:rsidRPr="006D6FE3" w14:paraId="39B0E5EC" w14:textId="77777777" w:rsidTr="000E35A4">
        <w:trPr>
          <w:trHeight w:val="482"/>
        </w:trPr>
        <w:tc>
          <w:tcPr>
            <w:tcW w:w="13606" w:type="dxa"/>
            <w:gridSpan w:val="4"/>
            <w:shd w:val="clear" w:color="auto" w:fill="auto"/>
            <w:vAlign w:val="center"/>
          </w:tcPr>
          <w:p w14:paraId="6E9DE040" w14:textId="77777777" w:rsidR="00DC0C68" w:rsidRDefault="00DC0C68" w:rsidP="000E35A4">
            <w:pPr>
              <w:spacing w:line="276" w:lineRule="auto"/>
            </w:pPr>
            <w:r>
              <w:t>11. Strengthened data linkage and interoperability.</w:t>
            </w:r>
          </w:p>
        </w:tc>
      </w:tr>
      <w:tr w:rsidR="00DC0C68" w:rsidRPr="006D6FE3" w14:paraId="7D5FA555" w14:textId="77777777" w:rsidTr="000E35A4">
        <w:trPr>
          <w:trHeight w:val="3005"/>
        </w:trPr>
        <w:tc>
          <w:tcPr>
            <w:tcW w:w="4535" w:type="dxa"/>
            <w:shd w:val="clear" w:color="auto" w:fill="auto"/>
          </w:tcPr>
          <w:p w14:paraId="52716414" w14:textId="77777777" w:rsidR="00DC0C68" w:rsidRDefault="00DC0C68" w:rsidP="000E35A4">
            <w:pPr>
              <w:spacing w:line="276" w:lineRule="auto"/>
            </w:pPr>
            <w:r>
              <w:t>Future integration with primary-care datasets, the NHS App and/or Federated Data Platform infrastructure to automate data flow and improve completeness, quality, and timeliness.</w:t>
            </w:r>
          </w:p>
          <w:p w14:paraId="631928D5" w14:textId="77777777" w:rsidR="00DC0C68" w:rsidRPr="006D6FE3"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t>Explore potential linkage with Integrated Neighbourhood Teams data and primary-care coding to provide a local-population view of epilepsy care.</w:t>
            </w:r>
          </w:p>
        </w:tc>
        <w:tc>
          <w:tcPr>
            <w:tcW w:w="1701" w:type="dxa"/>
            <w:shd w:val="clear" w:color="auto" w:fill="auto"/>
            <w:noWrap/>
          </w:tcPr>
          <w:p w14:paraId="57405DDA" w14:textId="77777777" w:rsidR="00DC0C68" w:rsidRPr="008A1ED4"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t>Up to £300,000</w:t>
            </w:r>
          </w:p>
        </w:tc>
        <w:tc>
          <w:tcPr>
            <w:tcW w:w="1701" w:type="dxa"/>
            <w:shd w:val="clear" w:color="auto" w:fill="auto"/>
            <w:noWrap/>
          </w:tcPr>
          <w:p w14:paraId="5B5D524E" w14:textId="77777777" w:rsidR="00DC0C68" w:rsidRPr="008A1ED4"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t>Up to £360,000</w:t>
            </w:r>
          </w:p>
        </w:tc>
        <w:tc>
          <w:tcPr>
            <w:tcW w:w="5669" w:type="dxa"/>
            <w:shd w:val="clear" w:color="auto" w:fill="auto"/>
          </w:tcPr>
          <w:p w14:paraId="262B5992" w14:textId="77777777" w:rsidR="00DC0C68" w:rsidRDefault="00DC0C68" w:rsidP="000E35A4">
            <w:pPr>
              <w:spacing w:line="276" w:lineRule="auto"/>
            </w:pPr>
            <w:r>
              <w:t xml:space="preserve">At HQIP or funder request, once national data infrastructure is </w:t>
            </w:r>
            <w:proofErr w:type="gramStart"/>
            <w:r>
              <w:t>available</w:t>
            </w:r>
            <w:proofErr w:type="gramEnd"/>
            <w:r>
              <w:t xml:space="preserve"> and funding identified.</w:t>
            </w:r>
          </w:p>
          <w:p w14:paraId="4C9971B3" w14:textId="77777777" w:rsidR="00DC0C68" w:rsidRDefault="00DC0C68" w:rsidP="000E35A4">
            <w:pPr>
              <w:widowControl/>
              <w:autoSpaceDE/>
              <w:autoSpaceDN/>
              <w:spacing w:line="276" w:lineRule="auto"/>
            </w:pPr>
            <w:r w:rsidRPr="00460EAA">
              <w:t>In these circumstances, HQIP will propose amending the contract for programme evolution, and if the supplier agrees the contract will be so amended provided that such amendment will not change the overall nature and balance of risk of the contract, and on the basis that any increase in costs is on an open-book basis, or uses the same pricing profile as in the initial contract, so as to achieve best value.</w:t>
            </w:r>
          </w:p>
          <w:p w14:paraId="61DC5238" w14:textId="77777777" w:rsidR="00DC0C68" w:rsidRDefault="00DC0C68" w:rsidP="000E35A4">
            <w:pPr>
              <w:widowControl/>
              <w:autoSpaceDE/>
              <w:autoSpaceDN/>
              <w:spacing w:line="276" w:lineRule="auto"/>
              <w:rPr>
                <w:color w:val="000000"/>
                <w:sz w:val="20"/>
                <w:szCs w:val="20"/>
                <w:lang w:eastAsia="en-GB"/>
              </w:rPr>
            </w:pPr>
          </w:p>
          <w:p w14:paraId="3053941C" w14:textId="77777777" w:rsidR="00DC0C68" w:rsidRDefault="00DC0C68" w:rsidP="000E35A4">
            <w:pPr>
              <w:widowControl/>
              <w:autoSpaceDE/>
              <w:autoSpaceDN/>
              <w:spacing w:line="276" w:lineRule="auto"/>
              <w:rPr>
                <w:color w:val="000000"/>
                <w:sz w:val="20"/>
                <w:szCs w:val="20"/>
                <w:lang w:eastAsia="en-GB"/>
              </w:rPr>
            </w:pPr>
          </w:p>
          <w:p w14:paraId="68180AB5" w14:textId="77777777" w:rsidR="00DC0C68" w:rsidRPr="006D6FE3"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p>
        </w:tc>
      </w:tr>
      <w:tr w:rsidR="00DC0C68" w:rsidRPr="006D6FE3" w14:paraId="69EEB500" w14:textId="77777777" w:rsidTr="000E35A4">
        <w:trPr>
          <w:trHeight w:val="482"/>
        </w:trPr>
        <w:tc>
          <w:tcPr>
            <w:tcW w:w="13606" w:type="dxa"/>
            <w:gridSpan w:val="4"/>
            <w:shd w:val="clear" w:color="auto" w:fill="auto"/>
            <w:vAlign w:val="center"/>
          </w:tcPr>
          <w:p w14:paraId="59569714" w14:textId="77777777" w:rsidR="00DC0C68" w:rsidRPr="00D553A8" w:rsidRDefault="00DC0C68" w:rsidP="000E35A4">
            <w:pPr>
              <w:widowControl/>
              <w:autoSpaceDE/>
              <w:autoSpaceDN/>
              <w:spacing w:line="276" w:lineRule="auto"/>
            </w:pPr>
            <w:r>
              <w:lastRenderedPageBreak/>
              <w:t>12. Enhanced measurement of transition readiness and outcomes.</w:t>
            </w:r>
          </w:p>
        </w:tc>
      </w:tr>
      <w:tr w:rsidR="00DC0C68" w:rsidRPr="006D6FE3" w14:paraId="2552E391" w14:textId="77777777" w:rsidTr="000E35A4">
        <w:trPr>
          <w:trHeight w:val="1043"/>
        </w:trPr>
        <w:tc>
          <w:tcPr>
            <w:tcW w:w="4535" w:type="dxa"/>
            <w:shd w:val="clear" w:color="auto" w:fill="auto"/>
          </w:tcPr>
          <w:p w14:paraId="05A2BFEF" w14:textId="77777777" w:rsidR="00DC0C68" w:rsidRDefault="00DC0C68" w:rsidP="000E35A4">
            <w:pPr>
              <w:spacing w:line="276" w:lineRule="auto"/>
            </w:pPr>
            <w:r>
              <w:t>Extend data collection to include information on transition including:</w:t>
            </w:r>
          </w:p>
          <w:p w14:paraId="4FA9DBC3" w14:textId="77777777" w:rsidR="00DC0C68" w:rsidRDefault="00DC0C68" w:rsidP="00DC0C68">
            <w:pPr>
              <w:pStyle w:val="ListParagraph"/>
              <w:numPr>
                <w:ilvl w:val="0"/>
                <w:numId w:val="20"/>
              </w:numPr>
              <w:jc w:val="left"/>
            </w:pPr>
            <w:r>
              <w:t>organisational data collection to assess service preparedness for transition to adult care</w:t>
            </w:r>
          </w:p>
          <w:p w14:paraId="42609A90" w14:textId="77777777" w:rsidR="00DC0C68" w:rsidRDefault="00DC0C68" w:rsidP="00DC0C68">
            <w:pPr>
              <w:pStyle w:val="ListParagraph"/>
              <w:numPr>
                <w:ilvl w:val="0"/>
                <w:numId w:val="20"/>
              </w:numPr>
              <w:jc w:val="left"/>
            </w:pPr>
            <w:r>
              <w:t>alignment with NICE Quality Standards and local transition protocols</w:t>
            </w:r>
          </w:p>
          <w:p w14:paraId="0F164E2C" w14:textId="77777777" w:rsidR="00DC0C68" w:rsidRPr="003C4B6F" w:rsidRDefault="00DC0C68" w:rsidP="00DC0C68">
            <w:pPr>
              <w:pStyle w:val="ListParagraph"/>
              <w:numPr>
                <w:ilvl w:val="0"/>
                <w:numId w:val="20"/>
              </w:numPr>
              <w:jc w:val="left"/>
              <w:rPr>
                <w:rFonts w:asciiTheme="minorHAnsi" w:hAnsiTheme="minorHAnsi" w:cstheme="minorHAnsi"/>
                <w:color w:val="000000"/>
                <w:sz w:val="20"/>
                <w:szCs w:val="20"/>
              </w:rPr>
            </w:pPr>
            <w:r w:rsidRPr="00BF2581">
              <w:t>Patient-Reported Outcome Measures (PROMs) and Patient-Reported Experience Measures (PREMs)</w:t>
            </w:r>
            <w:r>
              <w:t xml:space="preserve"> specifically related to transition</w:t>
            </w:r>
          </w:p>
          <w:p w14:paraId="65C1A8E0" w14:textId="77777777" w:rsidR="00DC0C68" w:rsidRPr="006D6FE3" w:rsidRDefault="00DC0C68" w:rsidP="00DC0C68">
            <w:pPr>
              <w:pStyle w:val="ListParagraph"/>
              <w:numPr>
                <w:ilvl w:val="0"/>
                <w:numId w:val="20"/>
              </w:numPr>
              <w:jc w:val="left"/>
              <w:rPr>
                <w:rFonts w:asciiTheme="minorHAnsi" w:hAnsiTheme="minorHAnsi" w:cstheme="minorHAnsi"/>
                <w:color w:val="000000"/>
                <w:sz w:val="20"/>
                <w:szCs w:val="20"/>
              </w:rPr>
            </w:pPr>
            <w:r>
              <w:t>Could be implemented via a spotlight audit/report.</w:t>
            </w:r>
          </w:p>
        </w:tc>
        <w:tc>
          <w:tcPr>
            <w:tcW w:w="1701" w:type="dxa"/>
            <w:shd w:val="clear" w:color="auto" w:fill="auto"/>
            <w:noWrap/>
          </w:tcPr>
          <w:p w14:paraId="517890BC" w14:textId="77777777" w:rsidR="00DC0C68" w:rsidRPr="008A1ED4"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t>Up to £300,000</w:t>
            </w:r>
          </w:p>
        </w:tc>
        <w:tc>
          <w:tcPr>
            <w:tcW w:w="1701" w:type="dxa"/>
            <w:shd w:val="clear" w:color="auto" w:fill="auto"/>
            <w:noWrap/>
          </w:tcPr>
          <w:p w14:paraId="195563B3" w14:textId="77777777" w:rsidR="00DC0C68" w:rsidRPr="008A1ED4"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t>Up to £360,000</w:t>
            </w:r>
          </w:p>
        </w:tc>
        <w:tc>
          <w:tcPr>
            <w:tcW w:w="5669" w:type="dxa"/>
            <w:shd w:val="clear" w:color="auto" w:fill="auto"/>
          </w:tcPr>
          <w:p w14:paraId="7BDE96FA" w14:textId="77777777" w:rsidR="00DC0C68" w:rsidRPr="006D6FE3" w:rsidRDefault="00DC0C68" w:rsidP="000E35A4">
            <w:pPr>
              <w:widowControl/>
              <w:autoSpaceDE/>
              <w:autoSpaceDN/>
              <w:spacing w:line="276" w:lineRule="auto"/>
              <w:rPr>
                <w:rFonts w:asciiTheme="minorHAnsi" w:eastAsia="Times New Roman" w:hAnsiTheme="minorHAnsi" w:cstheme="minorHAnsi"/>
                <w:color w:val="000000"/>
                <w:sz w:val="20"/>
                <w:szCs w:val="20"/>
                <w:lang w:eastAsia="en-GB"/>
              </w:rPr>
            </w:pPr>
            <w:r w:rsidRPr="00D553A8">
              <w:t>In these circumstances, HQIP will propose amending the contract, and if the supplier agrees the contract will be so amended provided that such amendment will not change the overall nature and balance of risk of the contract, and on the basis that any increase in costs is on an open-book basis, or uses the same pricing profile as in the initial contract, so as to achieve best value.</w:t>
            </w:r>
          </w:p>
        </w:tc>
      </w:tr>
    </w:tbl>
    <w:p w14:paraId="43DC021C" w14:textId="77777777" w:rsidR="00DC0C68" w:rsidRDefault="00DC0C68" w:rsidP="00311E27">
      <w:pPr>
        <w:spacing w:line="276" w:lineRule="auto"/>
      </w:pPr>
    </w:p>
    <w:p w14:paraId="67A515E7" w14:textId="77777777" w:rsidR="00DC0C68" w:rsidRDefault="00DC0C68" w:rsidP="00311E27">
      <w:pPr>
        <w:spacing w:line="276" w:lineRule="auto"/>
      </w:pPr>
    </w:p>
    <w:p w14:paraId="5959811F" w14:textId="77777777" w:rsidR="00DC0C68" w:rsidRDefault="00DC0C68" w:rsidP="00AB7D62">
      <w:pPr>
        <w:pStyle w:val="Heading3"/>
        <w:sectPr w:rsidR="00DC0C68" w:rsidSect="00DC0C68">
          <w:footerReference w:type="default" r:id="rId29"/>
          <w:pgSz w:w="16838" w:h="11906" w:orient="landscape"/>
          <w:pgMar w:top="992" w:right="992" w:bottom="992" w:left="992" w:header="709" w:footer="709" w:gutter="0"/>
          <w:cols w:space="708"/>
          <w:docGrid w:linePitch="360"/>
        </w:sectPr>
      </w:pPr>
      <w:bookmarkStart w:id="221" w:name="_Toc213777644"/>
      <w:bookmarkStart w:id="222" w:name="_Hlk215652018"/>
    </w:p>
    <w:p w14:paraId="26B306BA" w14:textId="6CC46A1F" w:rsidR="00AB7D62" w:rsidRDefault="00AB7D62" w:rsidP="00AB7D62">
      <w:pPr>
        <w:pStyle w:val="Heading3"/>
      </w:pPr>
      <w:r>
        <w:lastRenderedPageBreak/>
        <w:t>Devolved nations aspirational intent</w:t>
      </w:r>
      <w:bookmarkEnd w:id="221"/>
    </w:p>
    <w:p w14:paraId="7A5495A4" w14:textId="77777777" w:rsidR="00496F9F" w:rsidRPr="00496F9F" w:rsidRDefault="00496F9F" w:rsidP="00496F9F"/>
    <w:tbl>
      <w:tblPr>
        <w:tblStyle w:val="TableGrid"/>
        <w:tblW w:w="0" w:type="auto"/>
        <w:tblLook w:val="04A0" w:firstRow="1" w:lastRow="0" w:firstColumn="1" w:lastColumn="0" w:noHBand="0" w:noVBand="1"/>
      </w:tblPr>
      <w:tblGrid>
        <w:gridCol w:w="1769"/>
        <w:gridCol w:w="2014"/>
        <w:gridCol w:w="1779"/>
        <w:gridCol w:w="1893"/>
        <w:gridCol w:w="2281"/>
      </w:tblGrid>
      <w:tr w:rsidR="00AB7D62" w:rsidRPr="00D553A8" w14:paraId="2778902A" w14:textId="77777777" w:rsidTr="00CC6B62">
        <w:tc>
          <w:tcPr>
            <w:tcW w:w="9736" w:type="dxa"/>
            <w:gridSpan w:val="5"/>
            <w:shd w:val="clear" w:color="auto" w:fill="BDD6EE" w:themeFill="accent1" w:themeFillTint="66"/>
          </w:tcPr>
          <w:p w14:paraId="416053B8" w14:textId="475D7DCA" w:rsidR="00AB7D62" w:rsidRPr="00D553A8" w:rsidRDefault="00AB7D62" w:rsidP="00DB2770">
            <w:pPr>
              <w:spacing w:line="276" w:lineRule="auto"/>
              <w:rPr>
                <w:b/>
                <w:bCs/>
              </w:rPr>
            </w:pPr>
            <w:r w:rsidRPr="00D553A8">
              <w:rPr>
                <w:b/>
                <w:bCs/>
              </w:rPr>
              <w:t xml:space="preserve">Table 2:  Devolved </w:t>
            </w:r>
            <w:r>
              <w:rPr>
                <w:b/>
                <w:bCs/>
              </w:rPr>
              <w:t>n</w:t>
            </w:r>
            <w:r w:rsidRPr="00D553A8">
              <w:rPr>
                <w:b/>
                <w:bCs/>
              </w:rPr>
              <w:t>ations Aspirational Intent</w:t>
            </w:r>
          </w:p>
        </w:tc>
      </w:tr>
      <w:tr w:rsidR="00DC0C68" w:rsidRPr="00D553A8" w14:paraId="799CE969" w14:textId="77777777" w:rsidTr="00E931C2">
        <w:tc>
          <w:tcPr>
            <w:tcW w:w="1769" w:type="dxa"/>
            <w:shd w:val="clear" w:color="auto" w:fill="BDD6EE" w:themeFill="accent1" w:themeFillTint="66"/>
          </w:tcPr>
          <w:p w14:paraId="573F5853" w14:textId="77777777" w:rsidR="00DC0C68" w:rsidRPr="00D553A8" w:rsidRDefault="00DC0C68" w:rsidP="00DC0C68">
            <w:pPr>
              <w:spacing w:line="276" w:lineRule="auto"/>
            </w:pPr>
            <w:bookmarkStart w:id="223" w:name="_Hlk105754926"/>
            <w:r w:rsidRPr="00D553A8">
              <w:t>Devolved Nation</w:t>
            </w:r>
          </w:p>
        </w:tc>
        <w:tc>
          <w:tcPr>
            <w:tcW w:w="2014" w:type="dxa"/>
            <w:shd w:val="clear" w:color="auto" w:fill="BDD6EE" w:themeFill="accent1" w:themeFillTint="66"/>
          </w:tcPr>
          <w:p w14:paraId="342C436B" w14:textId="77777777" w:rsidR="00DC0C68" w:rsidRPr="00D553A8" w:rsidRDefault="00DC0C68" w:rsidP="00DC0C68">
            <w:pPr>
              <w:spacing w:line="276" w:lineRule="auto"/>
            </w:pPr>
            <w:r w:rsidRPr="00D553A8">
              <w:t>Indicative Percentage Contribution</w:t>
            </w:r>
          </w:p>
        </w:tc>
        <w:tc>
          <w:tcPr>
            <w:tcW w:w="1779" w:type="dxa"/>
            <w:shd w:val="clear" w:color="auto" w:fill="BDD6EE" w:themeFill="accent1" w:themeFillTint="66"/>
            <w:vAlign w:val="center"/>
          </w:tcPr>
          <w:p w14:paraId="21231C7E" w14:textId="187325EB" w:rsidR="00DC0C68" w:rsidRPr="00D553A8" w:rsidRDefault="00DC0C68" w:rsidP="00DC0C68">
            <w:pPr>
              <w:spacing w:line="276" w:lineRule="auto"/>
            </w:pPr>
            <w:r w:rsidRPr="00510990">
              <w:rPr>
                <w:b/>
                <w:bCs/>
              </w:rPr>
              <w:t>Amount</w:t>
            </w:r>
            <w:r w:rsidRPr="00510990">
              <w:rPr>
                <w:rStyle w:val="FootnoteReference"/>
              </w:rPr>
              <w:footnoteReference w:id="4"/>
            </w:r>
            <w:r w:rsidRPr="00510990">
              <w:rPr>
                <w:b/>
                <w:bCs/>
              </w:rPr>
              <w:t xml:space="preserve"> </w:t>
            </w:r>
            <w:proofErr w:type="spellStart"/>
            <w:r w:rsidRPr="00510990">
              <w:rPr>
                <w:b/>
                <w:bCs/>
              </w:rPr>
              <w:t>Excl</w:t>
            </w:r>
            <w:proofErr w:type="spellEnd"/>
            <w:r w:rsidRPr="00510990">
              <w:rPr>
                <w:b/>
                <w:bCs/>
              </w:rPr>
              <w:t xml:space="preserve"> VAT</w:t>
            </w:r>
          </w:p>
        </w:tc>
        <w:tc>
          <w:tcPr>
            <w:tcW w:w="1893" w:type="dxa"/>
            <w:shd w:val="clear" w:color="auto" w:fill="BDD6EE" w:themeFill="accent1" w:themeFillTint="66"/>
            <w:vAlign w:val="center"/>
          </w:tcPr>
          <w:p w14:paraId="11F6577C" w14:textId="6843E2EA" w:rsidR="00DC0C68" w:rsidRPr="00D553A8" w:rsidRDefault="00DC0C68" w:rsidP="00DC0C68">
            <w:pPr>
              <w:spacing w:line="276" w:lineRule="auto"/>
            </w:pPr>
            <w:r w:rsidRPr="00510990">
              <w:rPr>
                <w:b/>
                <w:bCs/>
              </w:rPr>
              <w:t xml:space="preserve">Amount </w:t>
            </w:r>
            <w:proofErr w:type="spellStart"/>
            <w:r w:rsidRPr="00510990">
              <w:rPr>
                <w:b/>
                <w:bCs/>
              </w:rPr>
              <w:t>Incl</w:t>
            </w:r>
            <w:proofErr w:type="spellEnd"/>
            <w:r w:rsidRPr="00510990">
              <w:rPr>
                <w:b/>
                <w:bCs/>
              </w:rPr>
              <w:t xml:space="preserve"> VAT</w:t>
            </w:r>
            <w:r>
              <w:rPr>
                <w:rStyle w:val="FootnoteReference"/>
              </w:rPr>
              <w:footnoteReference w:id="5"/>
            </w:r>
          </w:p>
        </w:tc>
        <w:tc>
          <w:tcPr>
            <w:tcW w:w="2281" w:type="dxa"/>
            <w:shd w:val="clear" w:color="auto" w:fill="BDD6EE" w:themeFill="accent1" w:themeFillTint="66"/>
          </w:tcPr>
          <w:p w14:paraId="5B08BF3A" w14:textId="3E06479E" w:rsidR="00DC0C68" w:rsidRPr="00D553A8" w:rsidRDefault="00DC0C68" w:rsidP="00DC0C68">
            <w:pPr>
              <w:spacing w:line="276" w:lineRule="auto"/>
            </w:pPr>
            <w:r w:rsidRPr="00D553A8">
              <w:t>Mechanism for Inclusion</w:t>
            </w:r>
          </w:p>
        </w:tc>
      </w:tr>
      <w:tr w:rsidR="00B23F38" w:rsidRPr="00D553A8" w14:paraId="1E5A43BC" w14:textId="77777777" w:rsidTr="009A710F">
        <w:trPr>
          <w:trHeight w:val="372"/>
        </w:trPr>
        <w:tc>
          <w:tcPr>
            <w:tcW w:w="1769" w:type="dxa"/>
          </w:tcPr>
          <w:p w14:paraId="13B35D14" w14:textId="77777777" w:rsidR="00B23F38" w:rsidRPr="00D553A8" w:rsidRDefault="00B23F38" w:rsidP="00B23F38">
            <w:pPr>
              <w:spacing w:line="276" w:lineRule="auto"/>
            </w:pPr>
            <w:r w:rsidRPr="00D553A8">
              <w:t>Scotland</w:t>
            </w:r>
          </w:p>
        </w:tc>
        <w:tc>
          <w:tcPr>
            <w:tcW w:w="2014" w:type="dxa"/>
          </w:tcPr>
          <w:p w14:paraId="63068C86" w14:textId="77777777" w:rsidR="00B23F38" w:rsidRPr="00D553A8" w:rsidRDefault="00B23F38" w:rsidP="00B23F38">
            <w:pPr>
              <w:spacing w:line="276" w:lineRule="auto"/>
            </w:pPr>
            <w:r w:rsidRPr="00D553A8">
              <w:t>8.37 – 9.11%</w:t>
            </w:r>
          </w:p>
        </w:tc>
        <w:tc>
          <w:tcPr>
            <w:tcW w:w="1779" w:type="dxa"/>
          </w:tcPr>
          <w:p w14:paraId="0D49DCBB" w14:textId="0F652512" w:rsidR="00B23F38" w:rsidRPr="00415D5E" w:rsidRDefault="00B23F38" w:rsidP="00B23F38">
            <w:pPr>
              <w:spacing w:line="276" w:lineRule="auto"/>
            </w:pPr>
            <w:r w:rsidRPr="00415D5E">
              <w:t>£0 - £444,468</w:t>
            </w:r>
          </w:p>
        </w:tc>
        <w:tc>
          <w:tcPr>
            <w:tcW w:w="1893" w:type="dxa"/>
          </w:tcPr>
          <w:p w14:paraId="7EB61C1C" w14:textId="364BD2E5" w:rsidR="00B23F38" w:rsidRPr="00D553A8" w:rsidRDefault="00B23F38" w:rsidP="00B23F38">
            <w:pPr>
              <w:spacing w:line="276" w:lineRule="auto"/>
            </w:pPr>
            <w:r>
              <w:t>£0 - £533,361</w:t>
            </w:r>
          </w:p>
        </w:tc>
        <w:tc>
          <w:tcPr>
            <w:tcW w:w="2281" w:type="dxa"/>
            <w:vMerge w:val="restart"/>
          </w:tcPr>
          <w:p w14:paraId="65A5A28F" w14:textId="3286F6C8" w:rsidR="00B23F38" w:rsidRPr="00D553A8" w:rsidRDefault="00B23F38" w:rsidP="00B23F38">
            <w:pPr>
              <w:spacing w:line="276" w:lineRule="auto"/>
            </w:pPr>
            <w:r w:rsidRPr="00D553A8">
              <w:t>Further to a request from the devolved nation HQIP shall propose amending the contract, and if the supplier agrees the contract will be so amended.</w:t>
            </w:r>
          </w:p>
        </w:tc>
      </w:tr>
      <w:tr w:rsidR="00B23F38" w:rsidRPr="00D553A8" w14:paraId="05E0D994" w14:textId="77777777" w:rsidTr="009A710F">
        <w:trPr>
          <w:trHeight w:val="369"/>
        </w:trPr>
        <w:tc>
          <w:tcPr>
            <w:tcW w:w="1769" w:type="dxa"/>
          </w:tcPr>
          <w:p w14:paraId="07E53979" w14:textId="77777777" w:rsidR="00B23F38" w:rsidRPr="00D553A8" w:rsidRDefault="00B23F38" w:rsidP="00B23F38">
            <w:pPr>
              <w:spacing w:line="276" w:lineRule="auto"/>
            </w:pPr>
            <w:r w:rsidRPr="00D553A8">
              <w:t>Northern Ireland</w:t>
            </w:r>
          </w:p>
        </w:tc>
        <w:tc>
          <w:tcPr>
            <w:tcW w:w="2014" w:type="dxa"/>
          </w:tcPr>
          <w:p w14:paraId="7FDA96F1" w14:textId="77777777" w:rsidR="00B23F38" w:rsidRPr="00D553A8" w:rsidRDefault="00B23F38" w:rsidP="00B23F38">
            <w:pPr>
              <w:spacing w:line="276" w:lineRule="auto"/>
            </w:pPr>
            <w:r w:rsidRPr="00D553A8">
              <w:t>2.89 – 3.34%</w:t>
            </w:r>
          </w:p>
        </w:tc>
        <w:tc>
          <w:tcPr>
            <w:tcW w:w="1779" w:type="dxa"/>
          </w:tcPr>
          <w:p w14:paraId="7FDDA065" w14:textId="15E66D3E" w:rsidR="00B23F38" w:rsidRPr="00415D5E" w:rsidRDefault="00B23F38" w:rsidP="00B23F38">
            <w:pPr>
              <w:spacing w:line="276" w:lineRule="auto"/>
            </w:pPr>
            <w:r w:rsidRPr="00415D5E">
              <w:t>£0 - £162,955</w:t>
            </w:r>
          </w:p>
        </w:tc>
        <w:tc>
          <w:tcPr>
            <w:tcW w:w="1893" w:type="dxa"/>
          </w:tcPr>
          <w:p w14:paraId="699CFECB" w14:textId="43F99307" w:rsidR="00B23F38" w:rsidRPr="00D553A8" w:rsidRDefault="00B23F38" w:rsidP="00B23F38">
            <w:pPr>
              <w:spacing w:line="276" w:lineRule="auto"/>
            </w:pPr>
            <w:r>
              <w:t>£0 - £533,361</w:t>
            </w:r>
          </w:p>
        </w:tc>
        <w:tc>
          <w:tcPr>
            <w:tcW w:w="2281" w:type="dxa"/>
            <w:vMerge/>
          </w:tcPr>
          <w:p w14:paraId="745F44D7" w14:textId="113CEEAC" w:rsidR="00B23F38" w:rsidRPr="00D553A8" w:rsidRDefault="00B23F38" w:rsidP="00B23F38">
            <w:pPr>
              <w:spacing w:line="276" w:lineRule="auto"/>
            </w:pPr>
          </w:p>
        </w:tc>
      </w:tr>
      <w:tr w:rsidR="00B23F38" w:rsidRPr="00D553A8" w14:paraId="7B963EE6" w14:textId="77777777" w:rsidTr="009A710F">
        <w:trPr>
          <w:trHeight w:val="369"/>
        </w:trPr>
        <w:tc>
          <w:tcPr>
            <w:tcW w:w="1769" w:type="dxa"/>
          </w:tcPr>
          <w:p w14:paraId="1E07C4C8" w14:textId="77777777" w:rsidR="00B23F38" w:rsidRPr="00D553A8" w:rsidRDefault="00B23F38" w:rsidP="00B23F38">
            <w:pPr>
              <w:spacing w:line="276" w:lineRule="auto"/>
            </w:pPr>
            <w:r w:rsidRPr="00D553A8">
              <w:t>Guernsey</w:t>
            </w:r>
          </w:p>
        </w:tc>
        <w:tc>
          <w:tcPr>
            <w:tcW w:w="2014" w:type="dxa"/>
          </w:tcPr>
          <w:p w14:paraId="2B14E11C" w14:textId="77777777" w:rsidR="00B23F38" w:rsidRPr="00D553A8" w:rsidRDefault="00B23F38" w:rsidP="00B23F38">
            <w:pPr>
              <w:spacing w:line="276" w:lineRule="auto"/>
            </w:pPr>
            <w:r w:rsidRPr="00D553A8">
              <w:t>0.10 – 0.11%</w:t>
            </w:r>
          </w:p>
        </w:tc>
        <w:tc>
          <w:tcPr>
            <w:tcW w:w="1779" w:type="dxa"/>
          </w:tcPr>
          <w:p w14:paraId="5B0CA857" w14:textId="588A5386" w:rsidR="00B23F38" w:rsidRPr="00415D5E" w:rsidRDefault="00B23F38" w:rsidP="00B23F38">
            <w:pPr>
              <w:spacing w:line="276" w:lineRule="auto"/>
            </w:pPr>
            <w:r w:rsidRPr="00415D5E">
              <w:t>£0 - £5,367</w:t>
            </w:r>
          </w:p>
        </w:tc>
        <w:tc>
          <w:tcPr>
            <w:tcW w:w="1893" w:type="dxa"/>
          </w:tcPr>
          <w:p w14:paraId="40357960" w14:textId="4DB32FAB" w:rsidR="00B23F38" w:rsidRPr="00D553A8" w:rsidRDefault="00B23F38" w:rsidP="00B23F38">
            <w:pPr>
              <w:spacing w:line="276" w:lineRule="auto"/>
            </w:pPr>
            <w:r>
              <w:t>£0 - £6,440</w:t>
            </w:r>
          </w:p>
        </w:tc>
        <w:tc>
          <w:tcPr>
            <w:tcW w:w="2281" w:type="dxa"/>
            <w:vMerge/>
          </w:tcPr>
          <w:p w14:paraId="0FA30227" w14:textId="46E7A86F" w:rsidR="00B23F38" w:rsidRPr="00D553A8" w:rsidRDefault="00B23F38" w:rsidP="00B23F38">
            <w:pPr>
              <w:spacing w:line="276" w:lineRule="auto"/>
            </w:pPr>
          </w:p>
        </w:tc>
      </w:tr>
      <w:tr w:rsidR="00B23F38" w:rsidRPr="00D553A8" w14:paraId="364C2FF6" w14:textId="77777777" w:rsidTr="009A710F">
        <w:trPr>
          <w:trHeight w:val="369"/>
        </w:trPr>
        <w:tc>
          <w:tcPr>
            <w:tcW w:w="1769" w:type="dxa"/>
          </w:tcPr>
          <w:p w14:paraId="3B835775" w14:textId="77777777" w:rsidR="00B23F38" w:rsidRPr="00D553A8" w:rsidRDefault="00B23F38" w:rsidP="00B23F38">
            <w:pPr>
              <w:spacing w:line="276" w:lineRule="auto"/>
            </w:pPr>
            <w:r w:rsidRPr="00D553A8">
              <w:t>Isle of Man</w:t>
            </w:r>
          </w:p>
        </w:tc>
        <w:tc>
          <w:tcPr>
            <w:tcW w:w="2014" w:type="dxa"/>
          </w:tcPr>
          <w:p w14:paraId="38BF03DD" w14:textId="77777777" w:rsidR="00B23F38" w:rsidRPr="00D553A8" w:rsidRDefault="00B23F38" w:rsidP="00B23F38">
            <w:pPr>
              <w:spacing w:line="276" w:lineRule="auto"/>
            </w:pPr>
            <w:r w:rsidRPr="00D553A8">
              <w:t>0.13 – 0.15%</w:t>
            </w:r>
          </w:p>
        </w:tc>
        <w:tc>
          <w:tcPr>
            <w:tcW w:w="1779" w:type="dxa"/>
          </w:tcPr>
          <w:p w14:paraId="1303FF64" w14:textId="6E3893DA" w:rsidR="00B23F38" w:rsidRPr="00415D5E" w:rsidRDefault="00B23F38" w:rsidP="00B23F38">
            <w:pPr>
              <w:spacing w:line="276" w:lineRule="auto"/>
            </w:pPr>
            <w:r w:rsidRPr="00415D5E">
              <w:t>£0 - £7,318</w:t>
            </w:r>
          </w:p>
        </w:tc>
        <w:tc>
          <w:tcPr>
            <w:tcW w:w="1893" w:type="dxa"/>
          </w:tcPr>
          <w:p w14:paraId="63F8F5DA" w14:textId="3B24E61D" w:rsidR="00B23F38" w:rsidRPr="00D553A8" w:rsidRDefault="00B23F38" w:rsidP="00B23F38">
            <w:pPr>
              <w:spacing w:line="276" w:lineRule="auto"/>
            </w:pPr>
            <w:r>
              <w:t>£0 - £8,782</w:t>
            </w:r>
          </w:p>
        </w:tc>
        <w:tc>
          <w:tcPr>
            <w:tcW w:w="2281" w:type="dxa"/>
            <w:vMerge/>
          </w:tcPr>
          <w:p w14:paraId="1B696B75" w14:textId="722A8338" w:rsidR="00B23F38" w:rsidRPr="00D553A8" w:rsidRDefault="00B23F38" w:rsidP="00B23F38">
            <w:pPr>
              <w:spacing w:line="276" w:lineRule="auto"/>
            </w:pPr>
          </w:p>
        </w:tc>
      </w:tr>
      <w:bookmarkEnd w:id="223"/>
    </w:tbl>
    <w:p w14:paraId="6E9DDB7D" w14:textId="77777777" w:rsidR="00474E20" w:rsidRDefault="00474E20" w:rsidP="00380D43">
      <w:pPr>
        <w:spacing w:line="276" w:lineRule="auto"/>
      </w:pPr>
    </w:p>
    <w:p w14:paraId="1A0B4EA9" w14:textId="77777777" w:rsidR="001957B3" w:rsidRDefault="001957B3" w:rsidP="0075197D">
      <w:pPr>
        <w:pStyle w:val="Heading1"/>
        <w:numPr>
          <w:ilvl w:val="0"/>
          <w:numId w:val="0"/>
        </w:numPr>
        <w:ind w:left="431" w:hanging="431"/>
      </w:pPr>
      <w:bookmarkStart w:id="224" w:name="_Toc213777646"/>
      <w:bookmarkEnd w:id="222"/>
    </w:p>
    <w:p w14:paraId="1B02410E" w14:textId="77777777" w:rsidR="001957B3" w:rsidRDefault="001957B3">
      <w:pPr>
        <w:widowControl/>
        <w:autoSpaceDE/>
        <w:autoSpaceDN/>
        <w:spacing w:after="160" w:line="259" w:lineRule="auto"/>
        <w:rPr>
          <w:rFonts w:asciiTheme="majorHAnsi" w:eastAsiaTheme="majorEastAsia" w:hAnsiTheme="majorHAnsi" w:cstheme="majorBidi"/>
          <w:color w:val="2E74B5" w:themeColor="accent1" w:themeShade="BF"/>
          <w:sz w:val="32"/>
          <w:szCs w:val="32"/>
        </w:rPr>
      </w:pPr>
      <w:r>
        <w:br w:type="page"/>
      </w:r>
    </w:p>
    <w:p w14:paraId="57C7EFDA" w14:textId="3ED5614B" w:rsidR="00474E20" w:rsidRDefault="00474E20" w:rsidP="0075197D">
      <w:pPr>
        <w:pStyle w:val="Heading1"/>
        <w:numPr>
          <w:ilvl w:val="0"/>
          <w:numId w:val="0"/>
        </w:numPr>
        <w:ind w:left="431" w:hanging="431"/>
      </w:pPr>
      <w:r w:rsidRPr="00346212">
        <w:lastRenderedPageBreak/>
        <w:t>Appendix</w:t>
      </w:r>
      <w:r>
        <w:t xml:space="preserve"> 1</w:t>
      </w:r>
      <w:bookmarkEnd w:id="224"/>
    </w:p>
    <w:p w14:paraId="05167D1C" w14:textId="77777777" w:rsidR="00474E20" w:rsidRPr="00D553A8" w:rsidRDefault="00474E20" w:rsidP="00474E20">
      <w:pPr>
        <w:tabs>
          <w:tab w:val="left" w:pos="1701"/>
          <w:tab w:val="left" w:pos="3261"/>
        </w:tabs>
        <w:spacing w:line="276" w:lineRule="auto"/>
        <w:rPr>
          <w:rFonts w:asciiTheme="minorHAnsi" w:hAnsiTheme="minorHAnsi" w:cstheme="minorHAnsi"/>
        </w:rPr>
      </w:pPr>
      <w:r w:rsidRPr="00D553A8">
        <w:rPr>
          <w:rFonts w:asciiTheme="minorHAnsi" w:hAnsiTheme="minorHAnsi" w:cstheme="minorHAnsi"/>
        </w:rPr>
        <w:t>The following list captures some of the relevant standards and publications which may inform the audit (please note this list is not exhaustive).</w:t>
      </w:r>
    </w:p>
    <w:p w14:paraId="4ACA47FB" w14:textId="77777777" w:rsidR="00474E20" w:rsidRPr="00D553A8" w:rsidRDefault="00474E20" w:rsidP="00474E20">
      <w:pPr>
        <w:spacing w:line="276" w:lineRule="auto"/>
      </w:pPr>
    </w:p>
    <w:tbl>
      <w:tblPr>
        <w:tblStyle w:val="TableGrid1"/>
        <w:tblW w:w="5000" w:type="pct"/>
        <w:tblLook w:val="04A0" w:firstRow="1" w:lastRow="0" w:firstColumn="1" w:lastColumn="0" w:noHBand="0" w:noVBand="1"/>
      </w:tblPr>
      <w:tblGrid>
        <w:gridCol w:w="4827"/>
        <w:gridCol w:w="5085"/>
      </w:tblGrid>
      <w:tr w:rsidR="00474E20" w:rsidRPr="00D553A8" w14:paraId="4EDC92CC" w14:textId="77777777" w:rsidTr="0003136C">
        <w:trPr>
          <w:trHeight w:val="283"/>
        </w:trPr>
        <w:tc>
          <w:tcPr>
            <w:tcW w:w="2435" w:type="pct"/>
            <w:shd w:val="clear" w:color="auto" w:fill="BFBFBF"/>
          </w:tcPr>
          <w:p w14:paraId="4D38337C" w14:textId="77777777" w:rsidR="00474E20" w:rsidRPr="00D553A8" w:rsidRDefault="00474E20" w:rsidP="0003136C">
            <w:pPr>
              <w:tabs>
                <w:tab w:val="left" w:pos="1701"/>
                <w:tab w:val="left" w:pos="3261"/>
              </w:tabs>
              <w:spacing w:before="60" w:after="60" w:line="276" w:lineRule="auto"/>
              <w:rPr>
                <w:rFonts w:cs="Arial"/>
                <w:b/>
                <w:sz w:val="22"/>
              </w:rPr>
            </w:pPr>
            <w:r w:rsidRPr="00D553A8">
              <w:rPr>
                <w:rFonts w:cs="Arial"/>
                <w:b/>
                <w:sz w:val="22"/>
              </w:rPr>
              <w:t>NICE guidance</w:t>
            </w:r>
          </w:p>
        </w:tc>
        <w:tc>
          <w:tcPr>
            <w:tcW w:w="2565" w:type="pct"/>
            <w:shd w:val="clear" w:color="auto" w:fill="BFBFBF"/>
          </w:tcPr>
          <w:p w14:paraId="001C0AF2" w14:textId="77777777" w:rsidR="00474E20" w:rsidRPr="00D553A8" w:rsidRDefault="00474E20" w:rsidP="0003136C">
            <w:pPr>
              <w:tabs>
                <w:tab w:val="left" w:pos="1701"/>
                <w:tab w:val="left" w:pos="3261"/>
              </w:tabs>
              <w:spacing w:before="60" w:after="60" w:line="276" w:lineRule="auto"/>
              <w:rPr>
                <w:rFonts w:cs="Arial"/>
                <w:b/>
                <w:sz w:val="22"/>
              </w:rPr>
            </w:pPr>
            <w:r w:rsidRPr="00D553A8">
              <w:rPr>
                <w:rFonts w:cs="Arial"/>
                <w:b/>
                <w:sz w:val="22"/>
              </w:rPr>
              <w:t>Title</w:t>
            </w:r>
          </w:p>
        </w:tc>
      </w:tr>
      <w:tr w:rsidR="00474E20" w:rsidRPr="00D553A8" w14:paraId="35AAAFF5" w14:textId="77777777" w:rsidTr="000F65BB">
        <w:trPr>
          <w:trHeight w:val="425"/>
        </w:trPr>
        <w:tc>
          <w:tcPr>
            <w:tcW w:w="2435" w:type="pct"/>
            <w:vAlign w:val="center"/>
          </w:tcPr>
          <w:p w14:paraId="7EF86E61" w14:textId="29F73580" w:rsidR="00474E20" w:rsidRPr="00D553A8" w:rsidRDefault="006858CA" w:rsidP="000F65BB">
            <w:pPr>
              <w:tabs>
                <w:tab w:val="left" w:pos="1701"/>
                <w:tab w:val="left" w:pos="3261"/>
              </w:tabs>
              <w:spacing w:line="276" w:lineRule="auto"/>
              <w:rPr>
                <w:rFonts w:cs="Arial"/>
                <w:sz w:val="22"/>
              </w:rPr>
            </w:pPr>
            <w:hyperlink r:id="rId30" w:history="1">
              <w:r w:rsidR="004C47A2" w:rsidRPr="004C47A2">
                <w:rPr>
                  <w:rStyle w:val="Hyperlink"/>
                  <w:rFonts w:cs="Arial"/>
                  <w:sz w:val="22"/>
                </w:rPr>
                <w:t>NICE NG217</w:t>
              </w:r>
            </w:hyperlink>
          </w:p>
        </w:tc>
        <w:tc>
          <w:tcPr>
            <w:tcW w:w="2565" w:type="pct"/>
            <w:vAlign w:val="center"/>
          </w:tcPr>
          <w:p w14:paraId="1BAF7866" w14:textId="6F0628C1" w:rsidR="00474E20" w:rsidRPr="00D553A8" w:rsidRDefault="004C47A2" w:rsidP="000F65BB">
            <w:pPr>
              <w:tabs>
                <w:tab w:val="left" w:pos="1701"/>
                <w:tab w:val="left" w:pos="3261"/>
              </w:tabs>
              <w:spacing w:line="276" w:lineRule="auto"/>
              <w:rPr>
                <w:rFonts w:cs="Arial"/>
                <w:sz w:val="22"/>
              </w:rPr>
            </w:pPr>
            <w:r w:rsidRPr="004C47A2">
              <w:rPr>
                <w:rFonts w:cs="Arial"/>
                <w:sz w:val="22"/>
              </w:rPr>
              <w:t>Epilepsies in children, young people and adults</w:t>
            </w:r>
          </w:p>
        </w:tc>
      </w:tr>
      <w:tr w:rsidR="00474E20" w:rsidRPr="00D553A8" w14:paraId="29BF0C8C" w14:textId="77777777" w:rsidTr="000F65BB">
        <w:trPr>
          <w:trHeight w:val="425"/>
        </w:trPr>
        <w:tc>
          <w:tcPr>
            <w:tcW w:w="2435" w:type="pct"/>
            <w:vAlign w:val="center"/>
          </w:tcPr>
          <w:p w14:paraId="702D07BE" w14:textId="229D46C8" w:rsidR="00474E20" w:rsidRPr="00D553A8" w:rsidRDefault="006858CA" w:rsidP="000F65BB">
            <w:pPr>
              <w:tabs>
                <w:tab w:val="left" w:pos="1025"/>
              </w:tabs>
              <w:spacing w:line="276" w:lineRule="auto"/>
              <w:rPr>
                <w:rFonts w:cs="Arial"/>
                <w:sz w:val="22"/>
              </w:rPr>
            </w:pPr>
            <w:hyperlink r:id="rId31" w:history="1">
              <w:r w:rsidR="004C47A2" w:rsidRPr="004C47A2">
                <w:rPr>
                  <w:rStyle w:val="Hyperlink"/>
                  <w:rFonts w:cs="Calibri"/>
                  <w:sz w:val="22"/>
                </w:rPr>
                <w:t>NICE CG137</w:t>
              </w:r>
            </w:hyperlink>
          </w:p>
        </w:tc>
        <w:tc>
          <w:tcPr>
            <w:tcW w:w="2565" w:type="pct"/>
            <w:vAlign w:val="center"/>
          </w:tcPr>
          <w:p w14:paraId="0A8EF7A4" w14:textId="1FEF4415" w:rsidR="00474E20" w:rsidRPr="00D553A8" w:rsidRDefault="004C47A2" w:rsidP="000F65BB">
            <w:pPr>
              <w:tabs>
                <w:tab w:val="left" w:pos="1701"/>
                <w:tab w:val="left" w:pos="3261"/>
              </w:tabs>
              <w:spacing w:line="276" w:lineRule="auto"/>
              <w:rPr>
                <w:rFonts w:cs="Arial"/>
                <w:sz w:val="22"/>
              </w:rPr>
            </w:pPr>
            <w:r w:rsidRPr="004C47A2">
              <w:rPr>
                <w:rFonts w:cs="Arial"/>
                <w:sz w:val="22"/>
              </w:rPr>
              <w:t>Epilepsies: diagnosis and management</w:t>
            </w:r>
          </w:p>
        </w:tc>
      </w:tr>
      <w:tr w:rsidR="00474E20" w:rsidRPr="00D553A8" w14:paraId="79C4B13C" w14:textId="77777777" w:rsidTr="0003136C">
        <w:trPr>
          <w:trHeight w:val="283"/>
        </w:trPr>
        <w:tc>
          <w:tcPr>
            <w:tcW w:w="2435" w:type="pct"/>
            <w:tcBorders>
              <w:bottom w:val="single" w:sz="4" w:space="0" w:color="auto"/>
            </w:tcBorders>
            <w:shd w:val="clear" w:color="auto" w:fill="BFBFBF"/>
          </w:tcPr>
          <w:p w14:paraId="47CE65C9" w14:textId="77777777" w:rsidR="00474E20" w:rsidRPr="00D553A8" w:rsidRDefault="00474E20" w:rsidP="0003136C">
            <w:pPr>
              <w:tabs>
                <w:tab w:val="left" w:pos="1701"/>
                <w:tab w:val="left" w:pos="3261"/>
              </w:tabs>
              <w:spacing w:before="60" w:after="60" w:line="276" w:lineRule="auto"/>
              <w:rPr>
                <w:rFonts w:cs="Arial"/>
                <w:b/>
                <w:sz w:val="22"/>
              </w:rPr>
            </w:pPr>
            <w:r w:rsidRPr="00D553A8">
              <w:rPr>
                <w:rFonts w:cs="Arial"/>
                <w:b/>
                <w:sz w:val="22"/>
              </w:rPr>
              <w:t>NICE standards</w:t>
            </w:r>
          </w:p>
        </w:tc>
        <w:tc>
          <w:tcPr>
            <w:tcW w:w="2565" w:type="pct"/>
            <w:tcBorders>
              <w:bottom w:val="single" w:sz="4" w:space="0" w:color="auto"/>
            </w:tcBorders>
            <w:shd w:val="clear" w:color="auto" w:fill="BFBFBF"/>
          </w:tcPr>
          <w:p w14:paraId="5423BADE" w14:textId="77777777" w:rsidR="00474E20" w:rsidRPr="00D553A8" w:rsidRDefault="00474E20" w:rsidP="0003136C">
            <w:pPr>
              <w:tabs>
                <w:tab w:val="left" w:pos="1701"/>
                <w:tab w:val="left" w:pos="3261"/>
              </w:tabs>
              <w:spacing w:before="60" w:after="60" w:line="276" w:lineRule="auto"/>
              <w:rPr>
                <w:rFonts w:cs="Arial"/>
                <w:b/>
                <w:sz w:val="22"/>
              </w:rPr>
            </w:pPr>
            <w:r w:rsidRPr="00D553A8">
              <w:rPr>
                <w:rFonts w:cs="Arial"/>
                <w:b/>
                <w:sz w:val="22"/>
              </w:rPr>
              <w:t>Title</w:t>
            </w:r>
          </w:p>
        </w:tc>
      </w:tr>
      <w:tr w:rsidR="00474E20" w:rsidRPr="00D553A8" w14:paraId="54E87811" w14:textId="77777777" w:rsidTr="000F65BB">
        <w:trPr>
          <w:trHeight w:val="425"/>
        </w:trPr>
        <w:tc>
          <w:tcPr>
            <w:tcW w:w="2435" w:type="pct"/>
            <w:shd w:val="clear" w:color="auto" w:fill="auto"/>
            <w:vAlign w:val="center"/>
          </w:tcPr>
          <w:p w14:paraId="09D03BCB" w14:textId="1E5EDBF1" w:rsidR="00474E20" w:rsidRPr="00D553A8" w:rsidRDefault="006858CA" w:rsidP="000F65BB">
            <w:pPr>
              <w:tabs>
                <w:tab w:val="left" w:pos="1701"/>
                <w:tab w:val="left" w:pos="3261"/>
              </w:tabs>
              <w:spacing w:line="276" w:lineRule="auto"/>
              <w:rPr>
                <w:rFonts w:cs="Arial"/>
                <w:sz w:val="22"/>
              </w:rPr>
            </w:pPr>
            <w:hyperlink r:id="rId32" w:history="1">
              <w:r w:rsidR="004C47A2" w:rsidRPr="0075197D">
                <w:rPr>
                  <w:rStyle w:val="Hyperlink"/>
                  <w:rFonts w:cs="Arial"/>
                  <w:sz w:val="22"/>
                </w:rPr>
                <w:t xml:space="preserve">NICE </w:t>
              </w:r>
              <w:r w:rsidR="0075197D" w:rsidRPr="0075197D">
                <w:rPr>
                  <w:rStyle w:val="Hyperlink"/>
                  <w:rFonts w:cs="Arial"/>
                  <w:sz w:val="22"/>
                </w:rPr>
                <w:t>QS211</w:t>
              </w:r>
            </w:hyperlink>
          </w:p>
        </w:tc>
        <w:tc>
          <w:tcPr>
            <w:tcW w:w="2565" w:type="pct"/>
            <w:shd w:val="clear" w:color="auto" w:fill="auto"/>
            <w:vAlign w:val="center"/>
          </w:tcPr>
          <w:p w14:paraId="14928AEE" w14:textId="63905EAB" w:rsidR="00474E20" w:rsidRPr="00D553A8" w:rsidRDefault="004C47A2" w:rsidP="000F65BB">
            <w:pPr>
              <w:tabs>
                <w:tab w:val="left" w:pos="1701"/>
                <w:tab w:val="left" w:pos="3261"/>
              </w:tabs>
              <w:spacing w:line="276" w:lineRule="auto"/>
              <w:rPr>
                <w:rFonts w:cs="Arial"/>
                <w:sz w:val="22"/>
              </w:rPr>
            </w:pPr>
            <w:r w:rsidRPr="004C47A2">
              <w:rPr>
                <w:rFonts w:cs="Arial"/>
                <w:sz w:val="22"/>
              </w:rPr>
              <w:t>Epilepsy in children and young people</w:t>
            </w:r>
          </w:p>
        </w:tc>
      </w:tr>
      <w:tr w:rsidR="0003136C" w:rsidRPr="00D553A8" w14:paraId="1C410E61" w14:textId="77777777" w:rsidTr="0003136C">
        <w:trPr>
          <w:trHeight w:val="283"/>
        </w:trPr>
        <w:tc>
          <w:tcPr>
            <w:tcW w:w="5000" w:type="pct"/>
            <w:gridSpan w:val="2"/>
            <w:shd w:val="clear" w:color="auto" w:fill="BFBFBF"/>
          </w:tcPr>
          <w:p w14:paraId="1187A7E7" w14:textId="6594ACEA" w:rsidR="0003136C" w:rsidRPr="00D553A8" w:rsidRDefault="0003136C" w:rsidP="0003136C">
            <w:pPr>
              <w:tabs>
                <w:tab w:val="left" w:pos="1701"/>
                <w:tab w:val="left" w:pos="3261"/>
              </w:tabs>
              <w:spacing w:before="60" w:after="60" w:line="276" w:lineRule="auto"/>
              <w:rPr>
                <w:rFonts w:cs="Arial"/>
                <w:b/>
                <w:sz w:val="22"/>
              </w:rPr>
            </w:pPr>
            <w:r>
              <w:rPr>
                <w:rFonts w:asciiTheme="minorHAnsi" w:hAnsiTheme="minorHAnsi" w:cstheme="minorHAnsi"/>
                <w:b/>
                <w:sz w:val="22"/>
              </w:rPr>
              <w:t xml:space="preserve">Other </w:t>
            </w:r>
            <w:r w:rsidRPr="00D553A8">
              <w:rPr>
                <w:rFonts w:asciiTheme="minorHAnsi" w:hAnsiTheme="minorHAnsi" w:cstheme="minorHAnsi"/>
                <w:b/>
                <w:sz w:val="22"/>
              </w:rPr>
              <w:t>standards, guidance and useful references</w:t>
            </w:r>
          </w:p>
        </w:tc>
      </w:tr>
      <w:tr w:rsidR="0003136C" w:rsidRPr="00D553A8" w14:paraId="1DF9B58A" w14:textId="77777777" w:rsidTr="000F65BB">
        <w:trPr>
          <w:trHeight w:val="425"/>
        </w:trPr>
        <w:tc>
          <w:tcPr>
            <w:tcW w:w="5000" w:type="pct"/>
            <w:gridSpan w:val="2"/>
            <w:shd w:val="clear" w:color="auto" w:fill="auto"/>
            <w:vAlign w:val="center"/>
          </w:tcPr>
          <w:p w14:paraId="74528D0A" w14:textId="0279204B" w:rsidR="0003136C" w:rsidRPr="0003136C" w:rsidRDefault="006858CA" w:rsidP="000F65BB">
            <w:pPr>
              <w:tabs>
                <w:tab w:val="left" w:pos="1701"/>
                <w:tab w:val="left" w:pos="3261"/>
              </w:tabs>
              <w:spacing w:line="276" w:lineRule="auto"/>
              <w:rPr>
                <w:rFonts w:cs="Arial"/>
                <w:sz w:val="22"/>
                <w:szCs w:val="22"/>
              </w:rPr>
            </w:pPr>
            <w:hyperlink r:id="rId33" w:history="1">
              <w:r w:rsidR="0003136C" w:rsidRPr="0003136C">
                <w:rPr>
                  <w:rStyle w:val="Hyperlink"/>
                  <w:rFonts w:cs="Arial"/>
                  <w:sz w:val="22"/>
                  <w:szCs w:val="22"/>
                </w:rPr>
                <w:t>2025/26 NHS Payment Scheme – Annex C: Guidance on best practice tariffs (Section 19)</w:t>
              </w:r>
            </w:hyperlink>
          </w:p>
        </w:tc>
      </w:tr>
      <w:tr w:rsidR="0003136C" w:rsidRPr="00D553A8" w14:paraId="4B1B6CA7" w14:textId="77777777" w:rsidTr="000F65BB">
        <w:trPr>
          <w:trHeight w:val="425"/>
        </w:trPr>
        <w:tc>
          <w:tcPr>
            <w:tcW w:w="5000" w:type="pct"/>
            <w:gridSpan w:val="2"/>
            <w:shd w:val="clear" w:color="auto" w:fill="auto"/>
            <w:vAlign w:val="center"/>
          </w:tcPr>
          <w:p w14:paraId="4EC08782" w14:textId="5F50A503" w:rsidR="0003136C" w:rsidRPr="0003136C" w:rsidRDefault="0003136C" w:rsidP="000F65BB">
            <w:pPr>
              <w:tabs>
                <w:tab w:val="left" w:pos="1701"/>
                <w:tab w:val="left" w:pos="3261"/>
              </w:tabs>
              <w:spacing w:line="276" w:lineRule="auto"/>
              <w:rPr>
                <w:rFonts w:cs="Arial"/>
                <w:sz w:val="22"/>
                <w:szCs w:val="22"/>
              </w:rPr>
            </w:pPr>
            <w:r w:rsidRPr="0003136C">
              <w:rPr>
                <w:rFonts w:eastAsia="Times New Roman"/>
                <w:sz w:val="22"/>
                <w:szCs w:val="22"/>
              </w:rPr>
              <w:t xml:space="preserve">NHS England National </w:t>
            </w:r>
            <w:hyperlink r:id="rId34" w:history="1">
              <w:r w:rsidRPr="0003136C">
                <w:rPr>
                  <w:rStyle w:val="Hyperlink"/>
                  <w:rFonts w:eastAsia="Times New Roman" w:cs="Calibri"/>
                  <w:sz w:val="22"/>
                  <w:szCs w:val="22"/>
                </w:rPr>
                <w:t>bundle of care for children and young people with epilepsy</w:t>
              </w:r>
            </w:hyperlink>
          </w:p>
        </w:tc>
      </w:tr>
      <w:tr w:rsidR="0003136C" w:rsidRPr="00D553A8" w14:paraId="1A6DBA99" w14:textId="77777777" w:rsidTr="000F65BB">
        <w:trPr>
          <w:trHeight w:val="425"/>
        </w:trPr>
        <w:tc>
          <w:tcPr>
            <w:tcW w:w="5000" w:type="pct"/>
            <w:gridSpan w:val="2"/>
            <w:shd w:val="clear" w:color="auto" w:fill="auto"/>
            <w:vAlign w:val="center"/>
          </w:tcPr>
          <w:p w14:paraId="5A12B319" w14:textId="372F4F02" w:rsidR="0003136C" w:rsidRPr="0003136C" w:rsidRDefault="0003136C" w:rsidP="000F65BB">
            <w:pPr>
              <w:tabs>
                <w:tab w:val="left" w:pos="1701"/>
                <w:tab w:val="left" w:pos="3261"/>
              </w:tabs>
              <w:spacing w:line="276" w:lineRule="auto"/>
              <w:rPr>
                <w:rFonts w:eastAsia="Times New Roman"/>
                <w:sz w:val="22"/>
                <w:szCs w:val="22"/>
              </w:rPr>
            </w:pPr>
            <w:r w:rsidRPr="0003136C">
              <w:rPr>
                <w:rFonts w:eastAsia="Times New Roman"/>
                <w:sz w:val="22"/>
                <w:szCs w:val="22"/>
              </w:rPr>
              <w:t xml:space="preserve">Welsh Government </w:t>
            </w:r>
            <w:hyperlink r:id="rId35" w:history="1">
              <w:r w:rsidRPr="0003136C">
                <w:rPr>
                  <w:rStyle w:val="Hyperlink"/>
                  <w:rFonts w:eastAsia="Times New Roman" w:cs="Calibri"/>
                  <w:sz w:val="22"/>
                  <w:szCs w:val="22"/>
                </w:rPr>
                <w:t>quality statement for neurological conditions</w:t>
              </w:r>
            </w:hyperlink>
          </w:p>
        </w:tc>
      </w:tr>
    </w:tbl>
    <w:p w14:paraId="1735C6C0" w14:textId="77777777" w:rsidR="00474E20" w:rsidRPr="00D5357E" w:rsidRDefault="00474E20" w:rsidP="00380D43">
      <w:pPr>
        <w:spacing w:line="276" w:lineRule="auto"/>
      </w:pPr>
    </w:p>
    <w:sectPr w:rsidR="00474E20" w:rsidRPr="00D5357E" w:rsidSect="00E931C2">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2F9B3" w14:textId="77777777" w:rsidR="00C8499A" w:rsidRPr="00D553A8" w:rsidRDefault="00C8499A" w:rsidP="00F73391">
      <w:r w:rsidRPr="00D553A8">
        <w:separator/>
      </w:r>
    </w:p>
  </w:endnote>
  <w:endnote w:type="continuationSeparator" w:id="0">
    <w:p w14:paraId="5DD1EBD6" w14:textId="77777777" w:rsidR="00C8499A" w:rsidRPr="00D553A8" w:rsidRDefault="00C8499A" w:rsidP="00F73391">
      <w:r w:rsidRPr="00D553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08644794"/>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1F90BB39" w14:textId="4364A84A" w:rsidR="00EF5C7F" w:rsidRPr="00D553A8" w:rsidRDefault="00002C9F" w:rsidP="00F137A6">
            <w:pPr>
              <w:pStyle w:val="Footer"/>
              <w:tabs>
                <w:tab w:val="clear" w:pos="4513"/>
                <w:tab w:val="clear" w:pos="9026"/>
                <w:tab w:val="right" w:pos="9746"/>
              </w:tabs>
              <w:rPr>
                <w:sz w:val="20"/>
                <w:szCs w:val="20"/>
              </w:rPr>
            </w:pPr>
            <w:r w:rsidRPr="00002C9F">
              <w:rPr>
                <w:i/>
              </w:rPr>
              <w:t xml:space="preserve">National Clinical Audit of Seizures and Epilepsies </w:t>
            </w:r>
            <w:r w:rsidR="00EF5C7F" w:rsidRPr="00D553A8">
              <w:rPr>
                <w:i/>
              </w:rPr>
              <w:t xml:space="preserve">SPECIFICATION </w:t>
            </w:r>
            <w:r w:rsidR="00EF5C7F" w:rsidRPr="00D553A8">
              <w:rPr>
                <w:i/>
              </w:rPr>
              <w:tab/>
            </w:r>
            <w:r w:rsidR="00EF5C7F" w:rsidRPr="00D553A8">
              <w:rPr>
                <w:szCs w:val="20"/>
              </w:rPr>
              <w:t xml:space="preserve">Page </w:t>
            </w:r>
            <w:r w:rsidR="00EF5C7F" w:rsidRPr="00D553A8">
              <w:rPr>
                <w:bCs/>
                <w:szCs w:val="20"/>
              </w:rPr>
              <w:fldChar w:fldCharType="begin"/>
            </w:r>
            <w:r w:rsidR="00EF5C7F" w:rsidRPr="00D553A8">
              <w:rPr>
                <w:bCs/>
                <w:szCs w:val="20"/>
              </w:rPr>
              <w:instrText xml:space="preserve"> PAGE </w:instrText>
            </w:r>
            <w:r w:rsidR="00EF5C7F" w:rsidRPr="00D553A8">
              <w:rPr>
                <w:bCs/>
                <w:szCs w:val="20"/>
              </w:rPr>
              <w:fldChar w:fldCharType="separate"/>
            </w:r>
            <w:r w:rsidR="000D2370" w:rsidRPr="007648E6">
              <w:rPr>
                <w:bCs/>
                <w:szCs w:val="20"/>
              </w:rPr>
              <w:t>7</w:t>
            </w:r>
            <w:r w:rsidR="00EF5C7F" w:rsidRPr="00D553A8">
              <w:rPr>
                <w:bCs/>
                <w:szCs w:val="20"/>
              </w:rPr>
              <w:fldChar w:fldCharType="end"/>
            </w:r>
            <w:r w:rsidR="00EF5C7F" w:rsidRPr="00D553A8">
              <w:rPr>
                <w:szCs w:val="20"/>
              </w:rPr>
              <w:t xml:space="preserve"> of </w:t>
            </w:r>
            <w:r w:rsidR="00EF5C7F" w:rsidRPr="00D553A8">
              <w:rPr>
                <w:bCs/>
                <w:szCs w:val="20"/>
              </w:rPr>
              <w:fldChar w:fldCharType="begin"/>
            </w:r>
            <w:r w:rsidR="00EF5C7F" w:rsidRPr="00D553A8">
              <w:rPr>
                <w:bCs/>
                <w:szCs w:val="20"/>
              </w:rPr>
              <w:instrText xml:space="preserve"> NUMPAGES  </w:instrText>
            </w:r>
            <w:r w:rsidR="00EF5C7F" w:rsidRPr="00D553A8">
              <w:rPr>
                <w:bCs/>
                <w:szCs w:val="20"/>
              </w:rPr>
              <w:fldChar w:fldCharType="separate"/>
            </w:r>
            <w:r w:rsidR="000D2370" w:rsidRPr="007648E6">
              <w:rPr>
                <w:bCs/>
                <w:szCs w:val="20"/>
              </w:rPr>
              <w:t>20</w:t>
            </w:r>
            <w:r w:rsidR="00EF5C7F" w:rsidRPr="00D553A8">
              <w:rPr>
                <w:bCs/>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83358249"/>
      <w:docPartObj>
        <w:docPartGallery w:val="Page Numbers (Bottom of Page)"/>
        <w:docPartUnique/>
      </w:docPartObj>
    </w:sdtPr>
    <w:sdtEndPr/>
    <w:sdtContent>
      <w:sdt>
        <w:sdtPr>
          <w:rPr>
            <w:sz w:val="20"/>
            <w:szCs w:val="20"/>
          </w:rPr>
          <w:id w:val="-1002052081"/>
          <w:docPartObj>
            <w:docPartGallery w:val="Page Numbers (Top of Page)"/>
            <w:docPartUnique/>
          </w:docPartObj>
        </w:sdtPr>
        <w:sdtEndPr/>
        <w:sdtContent>
          <w:p w14:paraId="13D7067A" w14:textId="5D2788BE" w:rsidR="00DC0C68" w:rsidRPr="00D553A8" w:rsidRDefault="00E1602C" w:rsidP="00E931C2">
            <w:pPr>
              <w:pStyle w:val="Footer"/>
              <w:tabs>
                <w:tab w:val="clear" w:pos="4513"/>
                <w:tab w:val="clear" w:pos="9026"/>
                <w:tab w:val="right" w:pos="14742"/>
              </w:tabs>
              <w:rPr>
                <w:sz w:val="20"/>
                <w:szCs w:val="20"/>
              </w:rPr>
            </w:pPr>
            <w:r w:rsidRPr="00002C9F">
              <w:rPr>
                <w:i/>
              </w:rPr>
              <w:t xml:space="preserve">National Clinical Audit of Seizures and Epilepsies </w:t>
            </w:r>
            <w:r w:rsidR="00DC0C68" w:rsidRPr="00D553A8">
              <w:rPr>
                <w:i/>
              </w:rPr>
              <w:t xml:space="preserve">SPECIFICATION </w:t>
            </w:r>
            <w:r w:rsidR="00DC0C68" w:rsidRPr="00D553A8">
              <w:rPr>
                <w:i/>
              </w:rPr>
              <w:tab/>
            </w:r>
            <w:r w:rsidR="00DC0C68" w:rsidRPr="00D553A8">
              <w:rPr>
                <w:szCs w:val="20"/>
              </w:rPr>
              <w:t xml:space="preserve">Page </w:t>
            </w:r>
            <w:r w:rsidR="00DC0C68" w:rsidRPr="00D553A8">
              <w:rPr>
                <w:bCs/>
                <w:szCs w:val="20"/>
              </w:rPr>
              <w:fldChar w:fldCharType="begin"/>
            </w:r>
            <w:r w:rsidR="00DC0C68" w:rsidRPr="00D553A8">
              <w:rPr>
                <w:bCs/>
                <w:szCs w:val="20"/>
              </w:rPr>
              <w:instrText xml:space="preserve"> PAGE </w:instrText>
            </w:r>
            <w:r w:rsidR="00DC0C68" w:rsidRPr="00D553A8">
              <w:rPr>
                <w:bCs/>
                <w:szCs w:val="20"/>
              </w:rPr>
              <w:fldChar w:fldCharType="separate"/>
            </w:r>
            <w:r w:rsidR="00DC0C68" w:rsidRPr="007648E6">
              <w:rPr>
                <w:bCs/>
                <w:szCs w:val="20"/>
              </w:rPr>
              <w:t>7</w:t>
            </w:r>
            <w:r w:rsidR="00DC0C68" w:rsidRPr="00D553A8">
              <w:rPr>
                <w:bCs/>
                <w:szCs w:val="20"/>
              </w:rPr>
              <w:fldChar w:fldCharType="end"/>
            </w:r>
            <w:r w:rsidR="00DC0C68" w:rsidRPr="00D553A8">
              <w:rPr>
                <w:szCs w:val="20"/>
              </w:rPr>
              <w:t xml:space="preserve"> of </w:t>
            </w:r>
            <w:r w:rsidR="00DC0C68" w:rsidRPr="00D553A8">
              <w:rPr>
                <w:bCs/>
                <w:szCs w:val="20"/>
              </w:rPr>
              <w:fldChar w:fldCharType="begin"/>
            </w:r>
            <w:r w:rsidR="00DC0C68" w:rsidRPr="00D553A8">
              <w:rPr>
                <w:bCs/>
                <w:szCs w:val="20"/>
              </w:rPr>
              <w:instrText xml:space="preserve"> NUMPAGES  </w:instrText>
            </w:r>
            <w:r w:rsidR="00DC0C68" w:rsidRPr="00D553A8">
              <w:rPr>
                <w:bCs/>
                <w:szCs w:val="20"/>
              </w:rPr>
              <w:fldChar w:fldCharType="separate"/>
            </w:r>
            <w:r w:rsidR="00DC0C68" w:rsidRPr="007648E6">
              <w:rPr>
                <w:bCs/>
                <w:szCs w:val="20"/>
              </w:rPr>
              <w:t>20</w:t>
            </w:r>
            <w:r w:rsidR="00DC0C68" w:rsidRPr="00D553A8">
              <w:rPr>
                <w:bCs/>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A1909" w14:textId="77777777" w:rsidR="00C8499A" w:rsidRPr="00D553A8" w:rsidRDefault="00C8499A" w:rsidP="00F73391">
      <w:r w:rsidRPr="00D553A8">
        <w:separator/>
      </w:r>
    </w:p>
  </w:footnote>
  <w:footnote w:type="continuationSeparator" w:id="0">
    <w:p w14:paraId="11781F7D" w14:textId="77777777" w:rsidR="00C8499A" w:rsidRPr="00D553A8" w:rsidRDefault="00C8499A" w:rsidP="00F73391">
      <w:r w:rsidRPr="00D553A8">
        <w:continuationSeparator/>
      </w:r>
    </w:p>
  </w:footnote>
  <w:footnote w:id="1">
    <w:p w14:paraId="6A8CD106" w14:textId="5A2CB096" w:rsidR="00007E64" w:rsidRDefault="00007E64">
      <w:pPr>
        <w:pStyle w:val="FootnoteText"/>
      </w:pPr>
      <w:r>
        <w:rPr>
          <w:rStyle w:val="FootnoteReference"/>
        </w:rPr>
        <w:footnoteRef/>
      </w:r>
      <w:r>
        <w:t xml:space="preserve"> </w:t>
      </w:r>
      <w:bookmarkStart w:id="6" w:name="_Hlk215650761"/>
      <w:r w:rsidRPr="00007E64">
        <w:t>In March 2025</w:t>
      </w:r>
      <w:r>
        <w:t>,</w:t>
      </w:r>
      <w:r w:rsidRPr="00007E64">
        <w:t xml:space="preserve"> the government announced that NHS England will be </w:t>
      </w:r>
      <w:r w:rsidR="00437F3E" w:rsidRPr="00007E64">
        <w:t>abolished,</w:t>
      </w:r>
      <w:r w:rsidRPr="00007E64">
        <w:t xml:space="preserve"> and its functions transferred into Department of Health and Social Care (DHSC), with a target integration expected by 2027</w:t>
      </w:r>
      <w:r>
        <w:t xml:space="preserve">. </w:t>
      </w:r>
      <w:r w:rsidRPr="00007E64">
        <w:t>References in this specification to NHS England should be interpreted as applying to any successor national body, recognising that forthcoming organisational changes mean the future national landscape is not yet fully defined.</w:t>
      </w:r>
      <w:bookmarkEnd w:id="6"/>
    </w:p>
  </w:footnote>
  <w:footnote w:id="2">
    <w:p w14:paraId="77F0F722" w14:textId="77777777" w:rsidR="00DC0C68" w:rsidRPr="006E3F6C" w:rsidRDefault="00DC0C68" w:rsidP="00DC0C68">
      <w:pPr>
        <w:pStyle w:val="FootnoteText"/>
      </w:pPr>
      <w:r w:rsidRPr="00D553A8">
        <w:rPr>
          <w:rStyle w:val="FootnoteReference"/>
        </w:rPr>
        <w:footnoteRef/>
      </w:r>
      <w:r w:rsidRPr="00D553A8">
        <w:t xml:space="preserve"> Potential Value Range and resultant increase to the contract value</w:t>
      </w:r>
    </w:p>
  </w:footnote>
  <w:footnote w:id="3">
    <w:p w14:paraId="7245BBCD" w14:textId="77777777" w:rsidR="00DC0C68" w:rsidRDefault="00DC0C68" w:rsidP="00DC0C68">
      <w:pPr>
        <w:pStyle w:val="FootnoteText"/>
      </w:pPr>
      <w:r>
        <w:rPr>
          <w:rStyle w:val="FootnoteReference"/>
        </w:rPr>
        <w:footnoteRef/>
      </w:r>
      <w:r>
        <w:t xml:space="preserve"> VAT at time of the specification being drafted is 20%. This will be subject to Government policy and is subject to change.</w:t>
      </w:r>
    </w:p>
  </w:footnote>
  <w:footnote w:id="4">
    <w:p w14:paraId="009222AF" w14:textId="77777777" w:rsidR="00DC0C68" w:rsidRPr="006E3F6C" w:rsidRDefault="00DC0C68" w:rsidP="00DC0C68">
      <w:pPr>
        <w:pStyle w:val="FootnoteText"/>
      </w:pPr>
      <w:r w:rsidRPr="00D553A8">
        <w:rPr>
          <w:rStyle w:val="FootnoteReference"/>
        </w:rPr>
        <w:footnoteRef/>
      </w:r>
      <w:r w:rsidRPr="00D553A8">
        <w:t xml:space="preserve"> Potential Value Range and resultant increase to the contract value</w:t>
      </w:r>
    </w:p>
  </w:footnote>
  <w:footnote w:id="5">
    <w:p w14:paraId="033620B5" w14:textId="77777777" w:rsidR="00DC0C68" w:rsidRDefault="00DC0C68" w:rsidP="00DC0C68">
      <w:pPr>
        <w:pStyle w:val="FootnoteText"/>
      </w:pPr>
      <w:r>
        <w:rPr>
          <w:rStyle w:val="FootnoteReference"/>
        </w:rPr>
        <w:footnoteRef/>
      </w:r>
      <w:r>
        <w:t xml:space="preserve"> VAT at time of the specification being drafted is 20%. This will be subject to Government policy and is subject to change.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0D1"/>
    <w:multiLevelType w:val="hybridMultilevel"/>
    <w:tmpl w:val="C6D42800"/>
    <w:lvl w:ilvl="0" w:tplc="9B4A0AFA">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BF73FF"/>
    <w:multiLevelType w:val="hybridMultilevel"/>
    <w:tmpl w:val="D29EA5A2"/>
    <w:lvl w:ilvl="0" w:tplc="08090001">
      <w:start w:val="1"/>
      <w:numFmt w:val="bullet"/>
      <w:lvlText w:val=""/>
      <w:lvlJc w:val="left"/>
      <w:pPr>
        <w:ind w:left="360" w:hanging="360"/>
      </w:pPr>
      <w:rPr>
        <w:rFonts w:ascii="Symbol" w:hAnsi="Symbol" w:hint="default"/>
      </w:rPr>
    </w:lvl>
    <w:lvl w:ilvl="1" w:tplc="C0A29CAE">
      <w:numFmt w:val="bullet"/>
      <w:lvlText w:val="•"/>
      <w:lvlJc w:val="left"/>
      <w:pPr>
        <w:ind w:left="1440" w:hanging="720"/>
      </w:pPr>
      <w:rPr>
        <w:rFonts w:ascii="Calibri" w:eastAsia="Calibr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5E2C17"/>
    <w:multiLevelType w:val="hybridMultilevel"/>
    <w:tmpl w:val="BACCDCF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6C26D5"/>
    <w:multiLevelType w:val="hybridMultilevel"/>
    <w:tmpl w:val="DB94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C02DFA"/>
    <w:multiLevelType w:val="hybridMultilevel"/>
    <w:tmpl w:val="1752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B0B4D"/>
    <w:multiLevelType w:val="hybridMultilevel"/>
    <w:tmpl w:val="DEECC830"/>
    <w:lvl w:ilvl="0" w:tplc="2260253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44375"/>
    <w:multiLevelType w:val="hybridMultilevel"/>
    <w:tmpl w:val="63AA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7583A"/>
    <w:multiLevelType w:val="multilevel"/>
    <w:tmpl w:val="2A9AB722"/>
    <w:lvl w:ilvl="0">
      <w:start w:val="1"/>
      <w:numFmt w:val="bullet"/>
      <w:lvlText w:val=""/>
      <w:lvlJc w:val="left"/>
      <w:pPr>
        <w:ind w:left="720" w:hanging="360"/>
      </w:pPr>
      <w:rPr>
        <w:rFonts w:ascii="Symbol" w:hAnsi="Symbol"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5AD1B5A"/>
    <w:multiLevelType w:val="multilevel"/>
    <w:tmpl w:val="EABC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345CF0"/>
    <w:multiLevelType w:val="multilevel"/>
    <w:tmpl w:val="6ADE2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84195"/>
    <w:multiLevelType w:val="hybridMultilevel"/>
    <w:tmpl w:val="5222401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1FE1DB1"/>
    <w:multiLevelType w:val="hybridMultilevel"/>
    <w:tmpl w:val="87821A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77E2E07"/>
    <w:multiLevelType w:val="hybridMultilevel"/>
    <w:tmpl w:val="DD407A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7F294D"/>
    <w:multiLevelType w:val="hybridMultilevel"/>
    <w:tmpl w:val="6C4AAF9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A5765AB"/>
    <w:multiLevelType w:val="hybridMultilevel"/>
    <w:tmpl w:val="0FDE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E2FA9"/>
    <w:multiLevelType w:val="hybridMultilevel"/>
    <w:tmpl w:val="61C09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307AA6"/>
    <w:multiLevelType w:val="multilevel"/>
    <w:tmpl w:val="129C2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9949AC"/>
    <w:multiLevelType w:val="hybridMultilevel"/>
    <w:tmpl w:val="1E1EC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700AE4"/>
    <w:multiLevelType w:val="hybridMultilevel"/>
    <w:tmpl w:val="F71820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762702"/>
    <w:multiLevelType w:val="hybridMultilevel"/>
    <w:tmpl w:val="E786A4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826104"/>
    <w:multiLevelType w:val="hybridMultilevel"/>
    <w:tmpl w:val="3FD4FD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E91AE9"/>
    <w:multiLevelType w:val="hybridMultilevel"/>
    <w:tmpl w:val="1CB48CF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B0153A8"/>
    <w:multiLevelType w:val="hybridMultilevel"/>
    <w:tmpl w:val="398C3EEE"/>
    <w:lvl w:ilvl="0" w:tplc="1D549D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AD76DF"/>
    <w:multiLevelType w:val="hybridMultilevel"/>
    <w:tmpl w:val="4D54FD8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706F14E5"/>
    <w:multiLevelType w:val="multilevel"/>
    <w:tmpl w:val="1336567A"/>
    <w:lvl w:ilvl="0">
      <w:start w:val="1"/>
      <w:numFmt w:val="decimal"/>
      <w:pStyle w:val="Heading1"/>
      <w:lvlText w:val="%1"/>
      <w:lvlJc w:val="left"/>
      <w:pPr>
        <w:ind w:left="431" w:hanging="431"/>
      </w:pPr>
      <w:rPr>
        <w:rFonts w:hint="default"/>
      </w:rPr>
    </w:lvl>
    <w:lvl w:ilvl="1">
      <w:start w:val="1"/>
      <w:numFmt w:val="decimal"/>
      <w:pStyle w:val="Heading2"/>
      <w:lvlText w:val="%1.%2"/>
      <w:lvlJc w:val="left"/>
      <w:pPr>
        <w:ind w:left="431" w:hanging="431"/>
      </w:pPr>
      <w:rPr>
        <w:rFonts w:hint="default"/>
        <w:b w:val="0"/>
      </w:rPr>
    </w:lvl>
    <w:lvl w:ilvl="2">
      <w:start w:val="1"/>
      <w:numFmt w:val="decimal"/>
      <w:pStyle w:val="Heading3"/>
      <w:lvlText w:val="%1.%2.%3"/>
      <w:lvlJc w:val="left"/>
      <w:pPr>
        <w:ind w:left="431" w:hanging="431"/>
      </w:pPr>
      <w:rPr>
        <w:rFonts w:hint="default"/>
        <w:b w:val="0"/>
      </w:rPr>
    </w:lvl>
    <w:lvl w:ilvl="3">
      <w:start w:val="1"/>
      <w:numFmt w:val="decimal"/>
      <w:pStyle w:val="Heading4"/>
      <w:lvlText w:val="%1.%2.%3.%4"/>
      <w:lvlJc w:val="left"/>
      <w:pPr>
        <w:ind w:left="431" w:hanging="431"/>
      </w:pPr>
      <w:rPr>
        <w:rFonts w:hint="default"/>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25" w15:restartNumberingAfterBreak="0">
    <w:nsid w:val="732E08BB"/>
    <w:multiLevelType w:val="hybridMultilevel"/>
    <w:tmpl w:val="2D627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9530897">
    <w:abstractNumId w:val="21"/>
  </w:num>
  <w:num w:numId="2" w16cid:durableId="587348951">
    <w:abstractNumId w:val="5"/>
  </w:num>
  <w:num w:numId="3" w16cid:durableId="327514698">
    <w:abstractNumId w:val="24"/>
  </w:num>
  <w:num w:numId="4" w16cid:durableId="447505655">
    <w:abstractNumId w:val="12"/>
  </w:num>
  <w:num w:numId="5" w16cid:durableId="868496534">
    <w:abstractNumId w:val="7"/>
  </w:num>
  <w:num w:numId="6" w16cid:durableId="194774836">
    <w:abstractNumId w:val="18"/>
  </w:num>
  <w:num w:numId="7" w16cid:durableId="264533515">
    <w:abstractNumId w:val="19"/>
  </w:num>
  <w:num w:numId="8" w16cid:durableId="652833499">
    <w:abstractNumId w:val="9"/>
  </w:num>
  <w:num w:numId="9" w16cid:durableId="763846658">
    <w:abstractNumId w:val="3"/>
  </w:num>
  <w:num w:numId="10" w16cid:durableId="112411175">
    <w:abstractNumId w:val="4"/>
  </w:num>
  <w:num w:numId="11" w16cid:durableId="550531408">
    <w:abstractNumId w:val="2"/>
  </w:num>
  <w:num w:numId="12" w16cid:durableId="504125521">
    <w:abstractNumId w:val="20"/>
  </w:num>
  <w:num w:numId="13" w16cid:durableId="1667787393">
    <w:abstractNumId w:val="10"/>
  </w:num>
  <w:num w:numId="14" w16cid:durableId="248932875">
    <w:abstractNumId w:val="1"/>
  </w:num>
  <w:num w:numId="15" w16cid:durableId="2097751100">
    <w:abstractNumId w:val="17"/>
  </w:num>
  <w:num w:numId="16" w16cid:durableId="1277906543">
    <w:abstractNumId w:val="14"/>
  </w:num>
  <w:num w:numId="17" w16cid:durableId="1790660587">
    <w:abstractNumId w:val="6"/>
  </w:num>
  <w:num w:numId="18" w16cid:durableId="1662193832">
    <w:abstractNumId w:val="8"/>
  </w:num>
  <w:num w:numId="19" w16cid:durableId="340275537">
    <w:abstractNumId w:val="15"/>
  </w:num>
  <w:num w:numId="20" w16cid:durableId="519659775">
    <w:abstractNumId w:val="25"/>
  </w:num>
  <w:num w:numId="21" w16cid:durableId="2044671131">
    <w:abstractNumId w:val="0"/>
  </w:num>
  <w:num w:numId="22" w16cid:durableId="601574350">
    <w:abstractNumId w:val="16"/>
  </w:num>
  <w:num w:numId="23" w16cid:durableId="207643865">
    <w:abstractNumId w:val="23"/>
  </w:num>
  <w:num w:numId="24" w16cid:durableId="1902864849">
    <w:abstractNumId w:val="13"/>
  </w:num>
  <w:num w:numId="25" w16cid:durableId="762341584">
    <w:abstractNumId w:val="11"/>
  </w:num>
  <w:num w:numId="26" w16cid:durableId="273951050">
    <w:abstractNumId w:val="24"/>
  </w:num>
  <w:num w:numId="27" w16cid:durableId="1762876925">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C6"/>
    <w:rsid w:val="000012F3"/>
    <w:rsid w:val="00002C9F"/>
    <w:rsid w:val="000053B6"/>
    <w:rsid w:val="00007E64"/>
    <w:rsid w:val="0001063A"/>
    <w:rsid w:val="00011E2F"/>
    <w:rsid w:val="000124B3"/>
    <w:rsid w:val="00014960"/>
    <w:rsid w:val="00017DF0"/>
    <w:rsid w:val="00020246"/>
    <w:rsid w:val="00022A1C"/>
    <w:rsid w:val="000245B8"/>
    <w:rsid w:val="0003007E"/>
    <w:rsid w:val="00030F99"/>
    <w:rsid w:val="0003136C"/>
    <w:rsid w:val="00040577"/>
    <w:rsid w:val="000533E7"/>
    <w:rsid w:val="0005460B"/>
    <w:rsid w:val="0005796D"/>
    <w:rsid w:val="00070865"/>
    <w:rsid w:val="00071D01"/>
    <w:rsid w:val="00072227"/>
    <w:rsid w:val="00075F39"/>
    <w:rsid w:val="00076DCA"/>
    <w:rsid w:val="00077B19"/>
    <w:rsid w:val="000813DF"/>
    <w:rsid w:val="00083405"/>
    <w:rsid w:val="00095B8B"/>
    <w:rsid w:val="00097D14"/>
    <w:rsid w:val="000A14E4"/>
    <w:rsid w:val="000B0C7A"/>
    <w:rsid w:val="000C2B3C"/>
    <w:rsid w:val="000C4AF7"/>
    <w:rsid w:val="000C575D"/>
    <w:rsid w:val="000C69A4"/>
    <w:rsid w:val="000D14E9"/>
    <w:rsid w:val="000D2370"/>
    <w:rsid w:val="000D2BCF"/>
    <w:rsid w:val="000D4DBF"/>
    <w:rsid w:val="000E0F10"/>
    <w:rsid w:val="000F17B5"/>
    <w:rsid w:val="000F19CE"/>
    <w:rsid w:val="000F1C34"/>
    <w:rsid w:val="000F448D"/>
    <w:rsid w:val="000F65BB"/>
    <w:rsid w:val="000F7488"/>
    <w:rsid w:val="00100023"/>
    <w:rsid w:val="0010210F"/>
    <w:rsid w:val="00104FC5"/>
    <w:rsid w:val="00110134"/>
    <w:rsid w:val="00110D13"/>
    <w:rsid w:val="00113AB5"/>
    <w:rsid w:val="00114446"/>
    <w:rsid w:val="00116E5F"/>
    <w:rsid w:val="00120320"/>
    <w:rsid w:val="00130E1C"/>
    <w:rsid w:val="00132357"/>
    <w:rsid w:val="00133103"/>
    <w:rsid w:val="0013313D"/>
    <w:rsid w:val="00133B73"/>
    <w:rsid w:val="00135E8B"/>
    <w:rsid w:val="0013683C"/>
    <w:rsid w:val="00140C5A"/>
    <w:rsid w:val="00141DB3"/>
    <w:rsid w:val="001444C3"/>
    <w:rsid w:val="00150524"/>
    <w:rsid w:val="001518A7"/>
    <w:rsid w:val="00164BC5"/>
    <w:rsid w:val="00172C99"/>
    <w:rsid w:val="00173925"/>
    <w:rsid w:val="00180D19"/>
    <w:rsid w:val="00184C72"/>
    <w:rsid w:val="00184EB4"/>
    <w:rsid w:val="00185DA5"/>
    <w:rsid w:val="00193EE8"/>
    <w:rsid w:val="001957B3"/>
    <w:rsid w:val="0019798A"/>
    <w:rsid w:val="001A0949"/>
    <w:rsid w:val="001A148D"/>
    <w:rsid w:val="001A470D"/>
    <w:rsid w:val="001A5DC3"/>
    <w:rsid w:val="001B0C52"/>
    <w:rsid w:val="001C04B0"/>
    <w:rsid w:val="001C3D61"/>
    <w:rsid w:val="001C5423"/>
    <w:rsid w:val="001C7F5E"/>
    <w:rsid w:val="001D5130"/>
    <w:rsid w:val="001D5B74"/>
    <w:rsid w:val="001D5EC1"/>
    <w:rsid w:val="001D63E6"/>
    <w:rsid w:val="001E176C"/>
    <w:rsid w:val="001E3288"/>
    <w:rsid w:val="001E3713"/>
    <w:rsid w:val="001E6BCF"/>
    <w:rsid w:val="001F15FF"/>
    <w:rsid w:val="001F60DF"/>
    <w:rsid w:val="001F6659"/>
    <w:rsid w:val="002000E8"/>
    <w:rsid w:val="002011A9"/>
    <w:rsid w:val="0020715C"/>
    <w:rsid w:val="00207E7D"/>
    <w:rsid w:val="0022217C"/>
    <w:rsid w:val="00222663"/>
    <w:rsid w:val="00222C44"/>
    <w:rsid w:val="00226CC1"/>
    <w:rsid w:val="002273E6"/>
    <w:rsid w:val="00232EA8"/>
    <w:rsid w:val="00233E5F"/>
    <w:rsid w:val="002370C6"/>
    <w:rsid w:val="00237C94"/>
    <w:rsid w:val="002412C7"/>
    <w:rsid w:val="0024274A"/>
    <w:rsid w:val="0024653F"/>
    <w:rsid w:val="00247B1F"/>
    <w:rsid w:val="002516B2"/>
    <w:rsid w:val="002531E5"/>
    <w:rsid w:val="00255D80"/>
    <w:rsid w:val="00256DB7"/>
    <w:rsid w:val="002610D0"/>
    <w:rsid w:val="0026433D"/>
    <w:rsid w:val="00264F5C"/>
    <w:rsid w:val="00277BF1"/>
    <w:rsid w:val="00283344"/>
    <w:rsid w:val="0028371F"/>
    <w:rsid w:val="00285598"/>
    <w:rsid w:val="00287D9D"/>
    <w:rsid w:val="00290BD0"/>
    <w:rsid w:val="00291F2B"/>
    <w:rsid w:val="002A52B0"/>
    <w:rsid w:val="002A5F66"/>
    <w:rsid w:val="002B2915"/>
    <w:rsid w:val="002B5EF0"/>
    <w:rsid w:val="002C12D6"/>
    <w:rsid w:val="002C3AC4"/>
    <w:rsid w:val="002D23FB"/>
    <w:rsid w:val="002D29B1"/>
    <w:rsid w:val="002E002F"/>
    <w:rsid w:val="002E0482"/>
    <w:rsid w:val="002E0900"/>
    <w:rsid w:val="002F0E25"/>
    <w:rsid w:val="002F0FD3"/>
    <w:rsid w:val="002F1D77"/>
    <w:rsid w:val="002F671B"/>
    <w:rsid w:val="003013E3"/>
    <w:rsid w:val="00304197"/>
    <w:rsid w:val="00311E27"/>
    <w:rsid w:val="00314443"/>
    <w:rsid w:val="0031474F"/>
    <w:rsid w:val="00316AE0"/>
    <w:rsid w:val="00317DD1"/>
    <w:rsid w:val="003265B4"/>
    <w:rsid w:val="00327573"/>
    <w:rsid w:val="003317E0"/>
    <w:rsid w:val="003325CD"/>
    <w:rsid w:val="003340B5"/>
    <w:rsid w:val="003422F9"/>
    <w:rsid w:val="00344D3B"/>
    <w:rsid w:val="00346212"/>
    <w:rsid w:val="00352AE2"/>
    <w:rsid w:val="00353B16"/>
    <w:rsid w:val="00353B9E"/>
    <w:rsid w:val="00354A6D"/>
    <w:rsid w:val="003735C6"/>
    <w:rsid w:val="003735C9"/>
    <w:rsid w:val="00373F7D"/>
    <w:rsid w:val="0037715E"/>
    <w:rsid w:val="00380D43"/>
    <w:rsid w:val="003864DF"/>
    <w:rsid w:val="00386BF5"/>
    <w:rsid w:val="00393357"/>
    <w:rsid w:val="00394503"/>
    <w:rsid w:val="003964D6"/>
    <w:rsid w:val="003A6270"/>
    <w:rsid w:val="003A6F17"/>
    <w:rsid w:val="003B32D9"/>
    <w:rsid w:val="003B57C6"/>
    <w:rsid w:val="003C0A20"/>
    <w:rsid w:val="003C3009"/>
    <w:rsid w:val="003C33D9"/>
    <w:rsid w:val="003C5C41"/>
    <w:rsid w:val="003D2535"/>
    <w:rsid w:val="003D2F9F"/>
    <w:rsid w:val="003D44C7"/>
    <w:rsid w:val="003D764C"/>
    <w:rsid w:val="003E092B"/>
    <w:rsid w:val="003E0D56"/>
    <w:rsid w:val="003E1859"/>
    <w:rsid w:val="003E19E6"/>
    <w:rsid w:val="003F02A0"/>
    <w:rsid w:val="0040572D"/>
    <w:rsid w:val="0040762D"/>
    <w:rsid w:val="00415D5E"/>
    <w:rsid w:val="00416CA0"/>
    <w:rsid w:val="004203FF"/>
    <w:rsid w:val="004309CC"/>
    <w:rsid w:val="00431930"/>
    <w:rsid w:val="00435FB3"/>
    <w:rsid w:val="00437BCF"/>
    <w:rsid w:val="00437F3E"/>
    <w:rsid w:val="0044229B"/>
    <w:rsid w:val="00450F79"/>
    <w:rsid w:val="004564BF"/>
    <w:rsid w:val="004568AC"/>
    <w:rsid w:val="00460EAA"/>
    <w:rsid w:val="00464C2C"/>
    <w:rsid w:val="004660DA"/>
    <w:rsid w:val="00466D33"/>
    <w:rsid w:val="00474E20"/>
    <w:rsid w:val="00477D14"/>
    <w:rsid w:val="004800A5"/>
    <w:rsid w:val="00480209"/>
    <w:rsid w:val="004803CA"/>
    <w:rsid w:val="00485EFD"/>
    <w:rsid w:val="00487D7F"/>
    <w:rsid w:val="0049690D"/>
    <w:rsid w:val="00496F9F"/>
    <w:rsid w:val="004A31A5"/>
    <w:rsid w:val="004A5F27"/>
    <w:rsid w:val="004B1259"/>
    <w:rsid w:val="004B2B13"/>
    <w:rsid w:val="004B41D3"/>
    <w:rsid w:val="004B6C80"/>
    <w:rsid w:val="004C05C1"/>
    <w:rsid w:val="004C34CB"/>
    <w:rsid w:val="004C47A2"/>
    <w:rsid w:val="004D4003"/>
    <w:rsid w:val="004D5A5D"/>
    <w:rsid w:val="004D7E6F"/>
    <w:rsid w:val="004E534F"/>
    <w:rsid w:val="004E7D0A"/>
    <w:rsid w:val="004F14FB"/>
    <w:rsid w:val="004F20E3"/>
    <w:rsid w:val="004F30E0"/>
    <w:rsid w:val="004F4429"/>
    <w:rsid w:val="005124C0"/>
    <w:rsid w:val="00516EAE"/>
    <w:rsid w:val="0052715F"/>
    <w:rsid w:val="0052773C"/>
    <w:rsid w:val="0053776E"/>
    <w:rsid w:val="00540A1C"/>
    <w:rsid w:val="00543542"/>
    <w:rsid w:val="005442B2"/>
    <w:rsid w:val="00544396"/>
    <w:rsid w:val="00553E2B"/>
    <w:rsid w:val="00560073"/>
    <w:rsid w:val="0056718A"/>
    <w:rsid w:val="00570008"/>
    <w:rsid w:val="005711F5"/>
    <w:rsid w:val="00572F0B"/>
    <w:rsid w:val="00573322"/>
    <w:rsid w:val="005739B7"/>
    <w:rsid w:val="0057476D"/>
    <w:rsid w:val="00574C52"/>
    <w:rsid w:val="0058076F"/>
    <w:rsid w:val="00581B78"/>
    <w:rsid w:val="00592160"/>
    <w:rsid w:val="0059517B"/>
    <w:rsid w:val="0059566A"/>
    <w:rsid w:val="00596D91"/>
    <w:rsid w:val="005A564F"/>
    <w:rsid w:val="005B0A08"/>
    <w:rsid w:val="005B0A71"/>
    <w:rsid w:val="005B12FF"/>
    <w:rsid w:val="005B1D4A"/>
    <w:rsid w:val="005B3700"/>
    <w:rsid w:val="005B4892"/>
    <w:rsid w:val="005B4DE5"/>
    <w:rsid w:val="005B52FA"/>
    <w:rsid w:val="005B5567"/>
    <w:rsid w:val="005B5686"/>
    <w:rsid w:val="005B7782"/>
    <w:rsid w:val="005C0B68"/>
    <w:rsid w:val="005E3A1B"/>
    <w:rsid w:val="005E3BAC"/>
    <w:rsid w:val="005E5C3F"/>
    <w:rsid w:val="005F2BBC"/>
    <w:rsid w:val="006004B4"/>
    <w:rsid w:val="0060371D"/>
    <w:rsid w:val="00613041"/>
    <w:rsid w:val="00615A8C"/>
    <w:rsid w:val="0062286B"/>
    <w:rsid w:val="0062364A"/>
    <w:rsid w:val="00625B05"/>
    <w:rsid w:val="00630BAC"/>
    <w:rsid w:val="00630FAB"/>
    <w:rsid w:val="006322B8"/>
    <w:rsid w:val="006343C6"/>
    <w:rsid w:val="0064036F"/>
    <w:rsid w:val="00640C59"/>
    <w:rsid w:val="006430DF"/>
    <w:rsid w:val="00645A76"/>
    <w:rsid w:val="00647CBB"/>
    <w:rsid w:val="00650A1F"/>
    <w:rsid w:val="00657229"/>
    <w:rsid w:val="00660549"/>
    <w:rsid w:val="00663433"/>
    <w:rsid w:val="00663F3E"/>
    <w:rsid w:val="00666394"/>
    <w:rsid w:val="00670C19"/>
    <w:rsid w:val="00674643"/>
    <w:rsid w:val="006748E6"/>
    <w:rsid w:val="006751A0"/>
    <w:rsid w:val="006802FD"/>
    <w:rsid w:val="00681A3F"/>
    <w:rsid w:val="006858CA"/>
    <w:rsid w:val="00691AC6"/>
    <w:rsid w:val="00694F39"/>
    <w:rsid w:val="006A1E0E"/>
    <w:rsid w:val="006B0696"/>
    <w:rsid w:val="006B1F92"/>
    <w:rsid w:val="006B3737"/>
    <w:rsid w:val="006C0522"/>
    <w:rsid w:val="006C0C7A"/>
    <w:rsid w:val="006C1456"/>
    <w:rsid w:val="006C1D97"/>
    <w:rsid w:val="006C5855"/>
    <w:rsid w:val="006C636C"/>
    <w:rsid w:val="006C6F77"/>
    <w:rsid w:val="006E3F6C"/>
    <w:rsid w:val="006F1E4E"/>
    <w:rsid w:val="006F625B"/>
    <w:rsid w:val="00702B3E"/>
    <w:rsid w:val="00703B70"/>
    <w:rsid w:val="0070563F"/>
    <w:rsid w:val="00715F1A"/>
    <w:rsid w:val="007170BB"/>
    <w:rsid w:val="007220EA"/>
    <w:rsid w:val="0072320A"/>
    <w:rsid w:val="00725202"/>
    <w:rsid w:val="007269C5"/>
    <w:rsid w:val="0073114E"/>
    <w:rsid w:val="00732A26"/>
    <w:rsid w:val="00733175"/>
    <w:rsid w:val="0073464D"/>
    <w:rsid w:val="00741683"/>
    <w:rsid w:val="00745E10"/>
    <w:rsid w:val="00746FB2"/>
    <w:rsid w:val="0074764E"/>
    <w:rsid w:val="00750984"/>
    <w:rsid w:val="0075138F"/>
    <w:rsid w:val="0075197D"/>
    <w:rsid w:val="00754220"/>
    <w:rsid w:val="00760019"/>
    <w:rsid w:val="007648E6"/>
    <w:rsid w:val="00764E2C"/>
    <w:rsid w:val="00777003"/>
    <w:rsid w:val="00780B57"/>
    <w:rsid w:val="00791599"/>
    <w:rsid w:val="0079230C"/>
    <w:rsid w:val="0079447F"/>
    <w:rsid w:val="00794AA4"/>
    <w:rsid w:val="007A0EE9"/>
    <w:rsid w:val="007A5072"/>
    <w:rsid w:val="007A5F3C"/>
    <w:rsid w:val="007B497B"/>
    <w:rsid w:val="007D2651"/>
    <w:rsid w:val="007D586A"/>
    <w:rsid w:val="007E31DE"/>
    <w:rsid w:val="007E5736"/>
    <w:rsid w:val="007E5FB5"/>
    <w:rsid w:val="007E6497"/>
    <w:rsid w:val="007F3E3D"/>
    <w:rsid w:val="007F4650"/>
    <w:rsid w:val="007F4731"/>
    <w:rsid w:val="007F4B3A"/>
    <w:rsid w:val="007F5824"/>
    <w:rsid w:val="007F66BD"/>
    <w:rsid w:val="007F69D6"/>
    <w:rsid w:val="00801225"/>
    <w:rsid w:val="008019E1"/>
    <w:rsid w:val="00811B83"/>
    <w:rsid w:val="00823830"/>
    <w:rsid w:val="00825A85"/>
    <w:rsid w:val="00825F2B"/>
    <w:rsid w:val="008371E7"/>
    <w:rsid w:val="008442D1"/>
    <w:rsid w:val="0085131A"/>
    <w:rsid w:val="00852A0D"/>
    <w:rsid w:val="00852F51"/>
    <w:rsid w:val="00856368"/>
    <w:rsid w:val="0086171D"/>
    <w:rsid w:val="0088091B"/>
    <w:rsid w:val="00881E27"/>
    <w:rsid w:val="008823EE"/>
    <w:rsid w:val="0089136E"/>
    <w:rsid w:val="00894F1D"/>
    <w:rsid w:val="00895579"/>
    <w:rsid w:val="008A6671"/>
    <w:rsid w:val="008A7697"/>
    <w:rsid w:val="008B5B6E"/>
    <w:rsid w:val="008B5F25"/>
    <w:rsid w:val="008C0E9D"/>
    <w:rsid w:val="008C20AB"/>
    <w:rsid w:val="008D38C1"/>
    <w:rsid w:val="008D3A29"/>
    <w:rsid w:val="008E70F3"/>
    <w:rsid w:val="008F5EF5"/>
    <w:rsid w:val="00900126"/>
    <w:rsid w:val="00901552"/>
    <w:rsid w:val="009053CD"/>
    <w:rsid w:val="00905CDB"/>
    <w:rsid w:val="00916C11"/>
    <w:rsid w:val="00916F82"/>
    <w:rsid w:val="00922C9E"/>
    <w:rsid w:val="00923F36"/>
    <w:rsid w:val="00924760"/>
    <w:rsid w:val="00924E55"/>
    <w:rsid w:val="00926E1D"/>
    <w:rsid w:val="009328AD"/>
    <w:rsid w:val="00934E99"/>
    <w:rsid w:val="00937924"/>
    <w:rsid w:val="009408EA"/>
    <w:rsid w:val="009516A5"/>
    <w:rsid w:val="00957494"/>
    <w:rsid w:val="0096264E"/>
    <w:rsid w:val="00962C5A"/>
    <w:rsid w:val="00967D18"/>
    <w:rsid w:val="00970581"/>
    <w:rsid w:val="00974FCE"/>
    <w:rsid w:val="00975FCD"/>
    <w:rsid w:val="00980427"/>
    <w:rsid w:val="00980B61"/>
    <w:rsid w:val="009827C0"/>
    <w:rsid w:val="00983334"/>
    <w:rsid w:val="00987D60"/>
    <w:rsid w:val="009A5D33"/>
    <w:rsid w:val="009A710F"/>
    <w:rsid w:val="009B637D"/>
    <w:rsid w:val="009C2A85"/>
    <w:rsid w:val="009C564C"/>
    <w:rsid w:val="009C6613"/>
    <w:rsid w:val="009C76B4"/>
    <w:rsid w:val="009D3180"/>
    <w:rsid w:val="009D3838"/>
    <w:rsid w:val="009D6CD0"/>
    <w:rsid w:val="009E0A3F"/>
    <w:rsid w:val="009E36D8"/>
    <w:rsid w:val="009F45AA"/>
    <w:rsid w:val="009F71DB"/>
    <w:rsid w:val="009F756D"/>
    <w:rsid w:val="009F7980"/>
    <w:rsid w:val="009F7CEB"/>
    <w:rsid w:val="00A0021E"/>
    <w:rsid w:val="00A01E43"/>
    <w:rsid w:val="00A0526A"/>
    <w:rsid w:val="00A05305"/>
    <w:rsid w:val="00A05802"/>
    <w:rsid w:val="00A06CC1"/>
    <w:rsid w:val="00A14760"/>
    <w:rsid w:val="00A17218"/>
    <w:rsid w:val="00A20A65"/>
    <w:rsid w:val="00A2243B"/>
    <w:rsid w:val="00A24B2A"/>
    <w:rsid w:val="00A2731E"/>
    <w:rsid w:val="00A328B8"/>
    <w:rsid w:val="00A3707B"/>
    <w:rsid w:val="00A376AC"/>
    <w:rsid w:val="00A40F03"/>
    <w:rsid w:val="00A41157"/>
    <w:rsid w:val="00A42841"/>
    <w:rsid w:val="00A428A2"/>
    <w:rsid w:val="00A428EE"/>
    <w:rsid w:val="00A4601D"/>
    <w:rsid w:val="00A502CA"/>
    <w:rsid w:val="00A52286"/>
    <w:rsid w:val="00A52F4C"/>
    <w:rsid w:val="00A55794"/>
    <w:rsid w:val="00A55BCB"/>
    <w:rsid w:val="00A5679C"/>
    <w:rsid w:val="00A619AD"/>
    <w:rsid w:val="00A6211E"/>
    <w:rsid w:val="00A64B99"/>
    <w:rsid w:val="00A66B3D"/>
    <w:rsid w:val="00A7023E"/>
    <w:rsid w:val="00A76EFA"/>
    <w:rsid w:val="00A815F9"/>
    <w:rsid w:val="00A83E50"/>
    <w:rsid w:val="00A90920"/>
    <w:rsid w:val="00A96EF5"/>
    <w:rsid w:val="00AA23EB"/>
    <w:rsid w:val="00AA4440"/>
    <w:rsid w:val="00AA4943"/>
    <w:rsid w:val="00AB11E0"/>
    <w:rsid w:val="00AB1840"/>
    <w:rsid w:val="00AB6DC0"/>
    <w:rsid w:val="00AB7D62"/>
    <w:rsid w:val="00AC3468"/>
    <w:rsid w:val="00AC3576"/>
    <w:rsid w:val="00AC5711"/>
    <w:rsid w:val="00AE171F"/>
    <w:rsid w:val="00AE173D"/>
    <w:rsid w:val="00AE1800"/>
    <w:rsid w:val="00AE4332"/>
    <w:rsid w:val="00AE5540"/>
    <w:rsid w:val="00AE661B"/>
    <w:rsid w:val="00AE7931"/>
    <w:rsid w:val="00AF0488"/>
    <w:rsid w:val="00AF2763"/>
    <w:rsid w:val="00AF441E"/>
    <w:rsid w:val="00AF5DD7"/>
    <w:rsid w:val="00AF792B"/>
    <w:rsid w:val="00B044E1"/>
    <w:rsid w:val="00B11BE3"/>
    <w:rsid w:val="00B11F89"/>
    <w:rsid w:val="00B14F7C"/>
    <w:rsid w:val="00B160E2"/>
    <w:rsid w:val="00B23260"/>
    <w:rsid w:val="00B23F38"/>
    <w:rsid w:val="00B247B0"/>
    <w:rsid w:val="00B32574"/>
    <w:rsid w:val="00B32DCA"/>
    <w:rsid w:val="00B339A2"/>
    <w:rsid w:val="00B4031C"/>
    <w:rsid w:val="00B44A19"/>
    <w:rsid w:val="00B50A78"/>
    <w:rsid w:val="00B50DEF"/>
    <w:rsid w:val="00B5127F"/>
    <w:rsid w:val="00B52B0E"/>
    <w:rsid w:val="00B535E0"/>
    <w:rsid w:val="00B54E7E"/>
    <w:rsid w:val="00B55426"/>
    <w:rsid w:val="00B62C36"/>
    <w:rsid w:val="00B63C36"/>
    <w:rsid w:val="00B65CD6"/>
    <w:rsid w:val="00B71BE7"/>
    <w:rsid w:val="00B75554"/>
    <w:rsid w:val="00B756A8"/>
    <w:rsid w:val="00B764B2"/>
    <w:rsid w:val="00B77900"/>
    <w:rsid w:val="00B92197"/>
    <w:rsid w:val="00B96162"/>
    <w:rsid w:val="00BA073F"/>
    <w:rsid w:val="00BA2502"/>
    <w:rsid w:val="00BA3A81"/>
    <w:rsid w:val="00BA6540"/>
    <w:rsid w:val="00BB1005"/>
    <w:rsid w:val="00BB2F60"/>
    <w:rsid w:val="00BB35D3"/>
    <w:rsid w:val="00BB5373"/>
    <w:rsid w:val="00BC1687"/>
    <w:rsid w:val="00BC6690"/>
    <w:rsid w:val="00BD1959"/>
    <w:rsid w:val="00BD43B2"/>
    <w:rsid w:val="00BD7C4C"/>
    <w:rsid w:val="00BE1A13"/>
    <w:rsid w:val="00BE4368"/>
    <w:rsid w:val="00BE6F44"/>
    <w:rsid w:val="00BE7EF7"/>
    <w:rsid w:val="00BF16C9"/>
    <w:rsid w:val="00BF180E"/>
    <w:rsid w:val="00BF2581"/>
    <w:rsid w:val="00BF2AA8"/>
    <w:rsid w:val="00BF6FC6"/>
    <w:rsid w:val="00BF744F"/>
    <w:rsid w:val="00C17A67"/>
    <w:rsid w:val="00C21ABE"/>
    <w:rsid w:val="00C232B2"/>
    <w:rsid w:val="00C27898"/>
    <w:rsid w:val="00C35309"/>
    <w:rsid w:val="00C41A58"/>
    <w:rsid w:val="00C47163"/>
    <w:rsid w:val="00C5785B"/>
    <w:rsid w:val="00C57A51"/>
    <w:rsid w:val="00C64510"/>
    <w:rsid w:val="00C701B2"/>
    <w:rsid w:val="00C7195C"/>
    <w:rsid w:val="00C765A2"/>
    <w:rsid w:val="00C77693"/>
    <w:rsid w:val="00C8499A"/>
    <w:rsid w:val="00C8510E"/>
    <w:rsid w:val="00C92BD5"/>
    <w:rsid w:val="00C96597"/>
    <w:rsid w:val="00CA12E1"/>
    <w:rsid w:val="00CA1A55"/>
    <w:rsid w:val="00CA294A"/>
    <w:rsid w:val="00CB16C9"/>
    <w:rsid w:val="00CB2024"/>
    <w:rsid w:val="00CC5FDE"/>
    <w:rsid w:val="00CD180F"/>
    <w:rsid w:val="00CE0651"/>
    <w:rsid w:val="00D03DF6"/>
    <w:rsid w:val="00D101CA"/>
    <w:rsid w:val="00D11A1E"/>
    <w:rsid w:val="00D12513"/>
    <w:rsid w:val="00D156F7"/>
    <w:rsid w:val="00D163AE"/>
    <w:rsid w:val="00D166D1"/>
    <w:rsid w:val="00D16784"/>
    <w:rsid w:val="00D16899"/>
    <w:rsid w:val="00D20DF4"/>
    <w:rsid w:val="00D22FFC"/>
    <w:rsid w:val="00D24E83"/>
    <w:rsid w:val="00D27D35"/>
    <w:rsid w:val="00D32B5C"/>
    <w:rsid w:val="00D33235"/>
    <w:rsid w:val="00D3350D"/>
    <w:rsid w:val="00D37A6B"/>
    <w:rsid w:val="00D41CE0"/>
    <w:rsid w:val="00D44D58"/>
    <w:rsid w:val="00D46E0F"/>
    <w:rsid w:val="00D51874"/>
    <w:rsid w:val="00D533F5"/>
    <w:rsid w:val="00D5357E"/>
    <w:rsid w:val="00D5450B"/>
    <w:rsid w:val="00D54B53"/>
    <w:rsid w:val="00D553A8"/>
    <w:rsid w:val="00D63370"/>
    <w:rsid w:val="00D670F1"/>
    <w:rsid w:val="00D67254"/>
    <w:rsid w:val="00D67B2F"/>
    <w:rsid w:val="00D76962"/>
    <w:rsid w:val="00D830BD"/>
    <w:rsid w:val="00D87EBF"/>
    <w:rsid w:val="00D968D4"/>
    <w:rsid w:val="00D96DFC"/>
    <w:rsid w:val="00DC0C68"/>
    <w:rsid w:val="00DC4490"/>
    <w:rsid w:val="00DC6B47"/>
    <w:rsid w:val="00DD2656"/>
    <w:rsid w:val="00DD4CC8"/>
    <w:rsid w:val="00DD5D83"/>
    <w:rsid w:val="00DD76C4"/>
    <w:rsid w:val="00DE2518"/>
    <w:rsid w:val="00DE55DB"/>
    <w:rsid w:val="00DE578A"/>
    <w:rsid w:val="00DE6ABF"/>
    <w:rsid w:val="00DF532F"/>
    <w:rsid w:val="00DF78F8"/>
    <w:rsid w:val="00E006E1"/>
    <w:rsid w:val="00E033E4"/>
    <w:rsid w:val="00E1302D"/>
    <w:rsid w:val="00E14955"/>
    <w:rsid w:val="00E1602C"/>
    <w:rsid w:val="00E2276D"/>
    <w:rsid w:val="00E23F98"/>
    <w:rsid w:val="00E25CBE"/>
    <w:rsid w:val="00E320B5"/>
    <w:rsid w:val="00E32789"/>
    <w:rsid w:val="00E34909"/>
    <w:rsid w:val="00E35156"/>
    <w:rsid w:val="00E4087E"/>
    <w:rsid w:val="00E45D1F"/>
    <w:rsid w:val="00E605C2"/>
    <w:rsid w:val="00E733E9"/>
    <w:rsid w:val="00E853F6"/>
    <w:rsid w:val="00E931C2"/>
    <w:rsid w:val="00E9367B"/>
    <w:rsid w:val="00E94752"/>
    <w:rsid w:val="00E94DB1"/>
    <w:rsid w:val="00E9563F"/>
    <w:rsid w:val="00E960EC"/>
    <w:rsid w:val="00E97CD7"/>
    <w:rsid w:val="00EA0200"/>
    <w:rsid w:val="00EB25E0"/>
    <w:rsid w:val="00EB35DE"/>
    <w:rsid w:val="00EB3F2B"/>
    <w:rsid w:val="00EC76D6"/>
    <w:rsid w:val="00ED2BCC"/>
    <w:rsid w:val="00EE5741"/>
    <w:rsid w:val="00EE6089"/>
    <w:rsid w:val="00EF0D97"/>
    <w:rsid w:val="00EF5C7F"/>
    <w:rsid w:val="00EF71C3"/>
    <w:rsid w:val="00F00E2F"/>
    <w:rsid w:val="00F049FE"/>
    <w:rsid w:val="00F06D29"/>
    <w:rsid w:val="00F10B67"/>
    <w:rsid w:val="00F137A6"/>
    <w:rsid w:val="00F147FB"/>
    <w:rsid w:val="00F14F18"/>
    <w:rsid w:val="00F21496"/>
    <w:rsid w:val="00F24F9F"/>
    <w:rsid w:val="00F273CD"/>
    <w:rsid w:val="00F3444D"/>
    <w:rsid w:val="00F354C0"/>
    <w:rsid w:val="00F37135"/>
    <w:rsid w:val="00F42DEE"/>
    <w:rsid w:val="00F44D81"/>
    <w:rsid w:val="00F53B27"/>
    <w:rsid w:val="00F60932"/>
    <w:rsid w:val="00F63F26"/>
    <w:rsid w:val="00F6508B"/>
    <w:rsid w:val="00F65CEB"/>
    <w:rsid w:val="00F65EBB"/>
    <w:rsid w:val="00F701A3"/>
    <w:rsid w:val="00F71900"/>
    <w:rsid w:val="00F73391"/>
    <w:rsid w:val="00F75153"/>
    <w:rsid w:val="00F82518"/>
    <w:rsid w:val="00F85E14"/>
    <w:rsid w:val="00F919FC"/>
    <w:rsid w:val="00F940C6"/>
    <w:rsid w:val="00F96237"/>
    <w:rsid w:val="00FA0F33"/>
    <w:rsid w:val="00FB5585"/>
    <w:rsid w:val="00FC0CD8"/>
    <w:rsid w:val="00FC1657"/>
    <w:rsid w:val="00FD095E"/>
    <w:rsid w:val="00FD0C71"/>
    <w:rsid w:val="00FD0EE2"/>
    <w:rsid w:val="00FD675E"/>
    <w:rsid w:val="00FF476A"/>
    <w:rsid w:val="00FF5DCD"/>
    <w:rsid w:val="00FF6446"/>
    <w:rsid w:val="00FF7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1737E"/>
  <w15:chartTrackingRefBased/>
  <w15:docId w15:val="{57480581-3041-4885-9A80-5CF519BD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22A1C"/>
    <w:pPr>
      <w:widowControl w:val="0"/>
      <w:autoSpaceDE w:val="0"/>
      <w:autoSpaceDN w:val="0"/>
      <w:spacing w:after="0" w:line="240" w:lineRule="auto"/>
    </w:pPr>
    <w:rPr>
      <w:rFonts w:ascii="Calibri" w:eastAsia="Calibri" w:hAnsi="Calibri" w:cs="Calibri"/>
    </w:rPr>
  </w:style>
  <w:style w:type="paragraph" w:styleId="Heading1">
    <w:name w:val="heading 1"/>
    <w:basedOn w:val="Normal"/>
    <w:next w:val="Normal"/>
    <w:link w:val="Heading1Char"/>
    <w:autoRedefine/>
    <w:uiPriority w:val="9"/>
    <w:qFormat/>
    <w:rsid w:val="006B1F92"/>
    <w:pPr>
      <w:numPr>
        <w:numId w:val="3"/>
      </w:numPr>
      <w:spacing w:before="240" w:after="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63E6"/>
    <w:pPr>
      <w:keepNext/>
      <w:keepLines/>
      <w:numPr>
        <w:ilvl w:val="1"/>
        <w:numId w:val="3"/>
      </w:numPr>
      <w:outlineLvl w:val="1"/>
    </w:pPr>
    <w:rPr>
      <w:rFonts w:asciiTheme="majorHAnsi" w:eastAsiaTheme="majorEastAsia" w:hAnsiTheme="majorHAnsi"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1D63E6"/>
    <w:pPr>
      <w:keepNext/>
      <w:keepLines/>
      <w:numPr>
        <w:ilvl w:val="2"/>
        <w:numId w:val="3"/>
      </w:numPr>
      <w:spacing w:before="40"/>
      <w:outlineLvl w:val="2"/>
    </w:pPr>
    <w:rPr>
      <w:rFonts w:asciiTheme="minorHAnsi" w:eastAsiaTheme="majorEastAsia" w:hAnsiTheme="minorHAnsi" w:cstheme="majorBidi"/>
      <w:color w:val="1F4E79" w:themeColor="accent1" w:themeShade="80"/>
      <w:sz w:val="24"/>
      <w:szCs w:val="24"/>
    </w:rPr>
  </w:style>
  <w:style w:type="paragraph" w:styleId="Heading4">
    <w:name w:val="heading 4"/>
    <w:basedOn w:val="Normal"/>
    <w:next w:val="Normal"/>
    <w:link w:val="Heading4Char"/>
    <w:uiPriority w:val="9"/>
    <w:unhideWhenUsed/>
    <w:qFormat/>
    <w:rsid w:val="00D5357E"/>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5357E"/>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5357E"/>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5357E"/>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5357E"/>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5357E"/>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22A1C"/>
  </w:style>
  <w:style w:type="character" w:customStyle="1" w:styleId="BodyTextChar">
    <w:name w:val="Body Text Char"/>
    <w:basedOn w:val="DefaultParagraphFont"/>
    <w:link w:val="BodyText"/>
    <w:uiPriority w:val="1"/>
    <w:rsid w:val="00022A1C"/>
    <w:rPr>
      <w:rFonts w:ascii="Calibri" w:eastAsia="Calibri" w:hAnsi="Calibri" w:cs="Calibri"/>
      <w:lang w:val="en-US"/>
    </w:rPr>
  </w:style>
  <w:style w:type="paragraph" w:customStyle="1" w:styleId="TableParagraph">
    <w:name w:val="Table Paragraph"/>
    <w:basedOn w:val="Normal"/>
    <w:uiPriority w:val="1"/>
    <w:qFormat/>
    <w:rsid w:val="00022A1C"/>
    <w:pPr>
      <w:ind w:left="107"/>
    </w:pPr>
    <w:rPr>
      <w:rFonts w:ascii="Cambria" w:eastAsia="Cambria" w:hAnsi="Cambria" w:cs="Cambria"/>
    </w:rPr>
  </w:style>
  <w:style w:type="character" w:customStyle="1" w:styleId="Heading1Char">
    <w:name w:val="Heading 1 Char"/>
    <w:basedOn w:val="DefaultParagraphFont"/>
    <w:link w:val="Heading1"/>
    <w:uiPriority w:val="9"/>
    <w:rsid w:val="006B1F9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203FF"/>
    <w:pPr>
      <w:widowControl/>
      <w:autoSpaceDE/>
      <w:autoSpaceDN/>
      <w:spacing w:line="259" w:lineRule="auto"/>
      <w:outlineLvl w:val="9"/>
    </w:pPr>
  </w:style>
  <w:style w:type="character" w:customStyle="1" w:styleId="Heading2Char">
    <w:name w:val="Heading 2 Char"/>
    <w:basedOn w:val="DefaultParagraphFont"/>
    <w:link w:val="Heading2"/>
    <w:uiPriority w:val="9"/>
    <w:rsid w:val="001D63E6"/>
    <w:rPr>
      <w:rFonts w:asciiTheme="majorHAnsi" w:eastAsiaTheme="majorEastAsia" w:hAnsiTheme="majorHAnsi" w:cstheme="majorBidi"/>
      <w:color w:val="2E74B5" w:themeColor="accent1" w:themeShade="BF"/>
      <w:sz w:val="28"/>
      <w:szCs w:val="26"/>
    </w:rPr>
  </w:style>
  <w:style w:type="character" w:styleId="Hyperlink">
    <w:name w:val="Hyperlink"/>
    <w:basedOn w:val="DefaultParagraphFont"/>
    <w:uiPriority w:val="99"/>
    <w:rsid w:val="00D5357E"/>
    <w:rPr>
      <w:rFonts w:cs="Times New Roman"/>
      <w:color w:val="0000FF"/>
      <w:u w:val="single"/>
    </w:rPr>
  </w:style>
  <w:style w:type="paragraph" w:styleId="ListParagraph">
    <w:name w:val="List Paragraph"/>
    <w:aliases w:val="Dot pt,F5 List Paragraph,List Paragraph1,List Paragraph11,Bullet 1,Bullet Points,MAIN CONTENT,No Spacing1,List Paragraph Char Char Char,Indicator Text,Numbered Para 1,Medium Grid 1 - Accent 21,Text bullets 1,Colorful List - Accent 11,L"/>
    <w:basedOn w:val="Normal"/>
    <w:link w:val="ListParagraphChar"/>
    <w:uiPriority w:val="34"/>
    <w:qFormat/>
    <w:rsid w:val="00D5357E"/>
    <w:pPr>
      <w:widowControl/>
      <w:autoSpaceDE/>
      <w:autoSpaceDN/>
      <w:spacing w:line="276" w:lineRule="auto"/>
      <w:ind w:left="720"/>
      <w:contextualSpacing/>
      <w:jc w:val="both"/>
    </w:pPr>
    <w:rPr>
      <w:rFonts w:eastAsia="Times New Roman" w:cs="Times New Roman"/>
      <w:lang w:eastAsia="en-GB"/>
    </w:rPr>
  </w:style>
  <w:style w:type="character" w:styleId="CommentReference">
    <w:name w:val="annotation reference"/>
    <w:basedOn w:val="DefaultParagraphFont"/>
    <w:uiPriority w:val="99"/>
    <w:semiHidden/>
    <w:rsid w:val="00D5357E"/>
    <w:rPr>
      <w:rFonts w:cs="Times New Roman"/>
      <w:sz w:val="16"/>
      <w:szCs w:val="16"/>
    </w:rPr>
  </w:style>
  <w:style w:type="paragraph" w:styleId="CommentText">
    <w:name w:val="annotation text"/>
    <w:basedOn w:val="Normal"/>
    <w:link w:val="CommentTextChar"/>
    <w:uiPriority w:val="99"/>
    <w:rsid w:val="00D5357E"/>
    <w:pPr>
      <w:widowControl/>
      <w:autoSpaceDE/>
      <w:autoSpaceDN/>
      <w:jc w:val="both"/>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D5357E"/>
    <w:rPr>
      <w:rFonts w:ascii="Calibri" w:eastAsia="Times New Roman" w:hAnsi="Calibri" w:cs="Times New Roman"/>
      <w:sz w:val="20"/>
      <w:szCs w:val="20"/>
      <w:lang w:eastAsia="en-GB"/>
    </w:rPr>
  </w:style>
  <w:style w:type="character" w:customStyle="1" w:styleId="ListParagraphChar">
    <w:name w:val="List Paragraph Char"/>
    <w:aliases w:val="Dot pt Char,F5 List Paragraph Char,List Paragraph1 Char,List Paragraph11 Char,Bullet 1 Char,Bullet Points Char,MAIN CONTENT Char,No Spacing1 Char,List Paragraph Char Char Char Char,Indicator Text Char,Numbered Para 1 Char,L Char"/>
    <w:basedOn w:val="DefaultParagraphFont"/>
    <w:link w:val="ListParagraph"/>
    <w:uiPriority w:val="1"/>
    <w:qFormat/>
    <w:locked/>
    <w:rsid w:val="00D5357E"/>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D53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57E"/>
    <w:rPr>
      <w:rFonts w:ascii="Segoe UI" w:eastAsia="Calibri" w:hAnsi="Segoe UI" w:cs="Segoe UI"/>
      <w:sz w:val="18"/>
      <w:szCs w:val="18"/>
      <w:lang w:val="en-US"/>
    </w:rPr>
  </w:style>
  <w:style w:type="character" w:customStyle="1" w:styleId="Heading3Char">
    <w:name w:val="Heading 3 Char"/>
    <w:basedOn w:val="DefaultParagraphFont"/>
    <w:link w:val="Heading3"/>
    <w:uiPriority w:val="9"/>
    <w:rsid w:val="001D63E6"/>
    <w:rPr>
      <w:rFonts w:eastAsiaTheme="majorEastAsia" w:cstheme="majorBidi"/>
      <w:color w:val="1F4E79" w:themeColor="accent1" w:themeShade="80"/>
      <w:sz w:val="24"/>
      <w:szCs w:val="24"/>
    </w:rPr>
  </w:style>
  <w:style w:type="character" w:customStyle="1" w:styleId="Heading4Char">
    <w:name w:val="Heading 4 Char"/>
    <w:basedOn w:val="DefaultParagraphFont"/>
    <w:link w:val="Heading4"/>
    <w:uiPriority w:val="9"/>
    <w:rsid w:val="00D5357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5357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5357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5357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5357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5357E"/>
    <w:rPr>
      <w:rFonts w:asciiTheme="majorHAnsi" w:eastAsiaTheme="majorEastAsia" w:hAnsiTheme="majorHAnsi" w:cstheme="majorBidi"/>
      <w:i/>
      <w:iCs/>
      <w:color w:val="272727" w:themeColor="text1" w:themeTint="D8"/>
      <w:sz w:val="21"/>
      <w:szCs w:val="21"/>
    </w:rPr>
  </w:style>
  <w:style w:type="paragraph" w:styleId="CommentSubject">
    <w:name w:val="annotation subject"/>
    <w:basedOn w:val="CommentText"/>
    <w:next w:val="CommentText"/>
    <w:link w:val="CommentSubjectChar"/>
    <w:uiPriority w:val="99"/>
    <w:semiHidden/>
    <w:unhideWhenUsed/>
    <w:rsid w:val="00287D9D"/>
    <w:pPr>
      <w:widowControl w:val="0"/>
      <w:autoSpaceDE w:val="0"/>
      <w:autoSpaceDN w:val="0"/>
      <w:jc w:val="left"/>
    </w:pPr>
    <w:rPr>
      <w:rFonts w:eastAsia="Calibri" w:cs="Calibri"/>
      <w:b/>
      <w:bCs/>
      <w:lang w:val="en-US" w:eastAsia="en-US"/>
    </w:rPr>
  </w:style>
  <w:style w:type="character" w:customStyle="1" w:styleId="CommentSubjectChar">
    <w:name w:val="Comment Subject Char"/>
    <w:basedOn w:val="CommentTextChar"/>
    <w:link w:val="CommentSubject"/>
    <w:uiPriority w:val="99"/>
    <w:semiHidden/>
    <w:rsid w:val="00287D9D"/>
    <w:rPr>
      <w:rFonts w:ascii="Calibri" w:eastAsia="Calibri" w:hAnsi="Calibri" w:cs="Calibri"/>
      <w:b/>
      <w:bCs/>
      <w:sz w:val="20"/>
      <w:szCs w:val="20"/>
      <w:lang w:val="en-US" w:eastAsia="en-GB"/>
    </w:rPr>
  </w:style>
  <w:style w:type="paragraph" w:styleId="TOC1">
    <w:name w:val="toc 1"/>
    <w:basedOn w:val="Normal"/>
    <w:next w:val="Normal"/>
    <w:autoRedefine/>
    <w:uiPriority w:val="39"/>
    <w:unhideWhenUsed/>
    <w:rsid w:val="00987D60"/>
    <w:pPr>
      <w:tabs>
        <w:tab w:val="left" w:pos="426"/>
        <w:tab w:val="right" w:leader="dot" w:pos="9016"/>
      </w:tabs>
      <w:spacing w:after="100"/>
    </w:pPr>
  </w:style>
  <w:style w:type="paragraph" w:styleId="TOC2">
    <w:name w:val="toc 2"/>
    <w:basedOn w:val="Normal"/>
    <w:next w:val="Normal"/>
    <w:autoRedefine/>
    <w:uiPriority w:val="39"/>
    <w:unhideWhenUsed/>
    <w:rsid w:val="00A428EE"/>
    <w:pPr>
      <w:tabs>
        <w:tab w:val="left" w:pos="1418"/>
        <w:tab w:val="right" w:leader="dot" w:pos="9016"/>
      </w:tabs>
      <w:spacing w:after="100"/>
      <w:ind w:left="220" w:firstLine="631"/>
    </w:pPr>
  </w:style>
  <w:style w:type="paragraph" w:styleId="TOC3">
    <w:name w:val="toc 3"/>
    <w:basedOn w:val="Normal"/>
    <w:next w:val="Normal"/>
    <w:autoRedefine/>
    <w:uiPriority w:val="39"/>
    <w:unhideWhenUsed/>
    <w:rsid w:val="005E3BAC"/>
    <w:pPr>
      <w:tabs>
        <w:tab w:val="left" w:pos="2552"/>
        <w:tab w:val="right" w:leader="dot" w:pos="9016"/>
      </w:tabs>
      <w:spacing w:after="100"/>
      <w:ind w:left="720" w:firstLine="1123"/>
    </w:pPr>
  </w:style>
  <w:style w:type="character" w:styleId="FollowedHyperlink">
    <w:name w:val="FollowedHyperlink"/>
    <w:basedOn w:val="DefaultParagraphFont"/>
    <w:uiPriority w:val="99"/>
    <w:semiHidden/>
    <w:unhideWhenUsed/>
    <w:rsid w:val="00AE173D"/>
    <w:rPr>
      <w:color w:val="954F72" w:themeColor="followedHyperlink"/>
      <w:u w:val="single"/>
    </w:rPr>
  </w:style>
  <w:style w:type="table" w:customStyle="1" w:styleId="TableGrid1">
    <w:name w:val="Table Grid1"/>
    <w:basedOn w:val="TableNormal"/>
    <w:next w:val="TableGrid"/>
    <w:uiPriority w:val="59"/>
    <w:locked/>
    <w:rsid w:val="00F354C0"/>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F354C0"/>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35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D166D1"/>
    <w:rPr>
      <w:i/>
      <w:iCs/>
      <w:color w:val="5B9BD5" w:themeColor="accent1"/>
    </w:rPr>
  </w:style>
  <w:style w:type="paragraph" w:styleId="Revision">
    <w:name w:val="Revision"/>
    <w:hidden/>
    <w:uiPriority w:val="99"/>
    <w:semiHidden/>
    <w:rsid w:val="002F0FD3"/>
    <w:pPr>
      <w:spacing w:after="0" w:line="240" w:lineRule="auto"/>
    </w:pPr>
    <w:rPr>
      <w:rFonts w:ascii="Calibri" w:eastAsia="Calibri" w:hAnsi="Calibri" w:cs="Calibri"/>
      <w:lang w:val="en-US"/>
    </w:rPr>
  </w:style>
  <w:style w:type="paragraph" w:styleId="Header">
    <w:name w:val="header"/>
    <w:basedOn w:val="Normal"/>
    <w:link w:val="HeaderChar"/>
    <w:uiPriority w:val="99"/>
    <w:unhideWhenUsed/>
    <w:rsid w:val="00F73391"/>
    <w:pPr>
      <w:tabs>
        <w:tab w:val="center" w:pos="4513"/>
        <w:tab w:val="right" w:pos="9026"/>
      </w:tabs>
    </w:pPr>
  </w:style>
  <w:style w:type="character" w:customStyle="1" w:styleId="HeaderChar">
    <w:name w:val="Header Char"/>
    <w:basedOn w:val="DefaultParagraphFont"/>
    <w:link w:val="Header"/>
    <w:uiPriority w:val="99"/>
    <w:rsid w:val="00F73391"/>
    <w:rPr>
      <w:rFonts w:ascii="Calibri" w:eastAsia="Calibri" w:hAnsi="Calibri" w:cs="Calibri"/>
      <w:lang w:val="en-US"/>
    </w:rPr>
  </w:style>
  <w:style w:type="paragraph" w:styleId="Footer">
    <w:name w:val="footer"/>
    <w:basedOn w:val="Normal"/>
    <w:link w:val="FooterChar"/>
    <w:uiPriority w:val="99"/>
    <w:unhideWhenUsed/>
    <w:rsid w:val="00F73391"/>
    <w:pPr>
      <w:tabs>
        <w:tab w:val="center" w:pos="4513"/>
        <w:tab w:val="right" w:pos="9026"/>
      </w:tabs>
    </w:pPr>
  </w:style>
  <w:style w:type="character" w:customStyle="1" w:styleId="FooterChar">
    <w:name w:val="Footer Char"/>
    <w:basedOn w:val="DefaultParagraphFont"/>
    <w:link w:val="Footer"/>
    <w:uiPriority w:val="99"/>
    <w:rsid w:val="00F73391"/>
    <w:rPr>
      <w:rFonts w:ascii="Calibri" w:eastAsia="Calibri" w:hAnsi="Calibri" w:cs="Calibri"/>
      <w:lang w:val="en-US"/>
    </w:rPr>
  </w:style>
  <w:style w:type="paragraph" w:styleId="Title">
    <w:name w:val="Title"/>
    <w:basedOn w:val="Normal"/>
    <w:next w:val="Normal"/>
    <w:link w:val="TitleChar"/>
    <w:uiPriority w:val="10"/>
    <w:qFormat/>
    <w:rsid w:val="00A428EE"/>
    <w:pPr>
      <w:contextualSpacing/>
    </w:pPr>
    <w:rPr>
      <w:rFonts w:asciiTheme="minorHAnsi" w:eastAsiaTheme="majorEastAsia" w:hAnsiTheme="minorHAnsi" w:cstheme="majorBidi"/>
      <w:b/>
      <w:spacing w:val="-10"/>
      <w:kern w:val="28"/>
      <w:sz w:val="56"/>
      <w:szCs w:val="56"/>
    </w:rPr>
  </w:style>
  <w:style w:type="character" w:customStyle="1" w:styleId="TitleChar">
    <w:name w:val="Title Char"/>
    <w:basedOn w:val="DefaultParagraphFont"/>
    <w:link w:val="Title"/>
    <w:uiPriority w:val="10"/>
    <w:rsid w:val="00A428EE"/>
    <w:rPr>
      <w:rFonts w:eastAsiaTheme="majorEastAsia" w:cstheme="majorBidi"/>
      <w:b/>
      <w:spacing w:val="-10"/>
      <w:kern w:val="28"/>
      <w:sz w:val="56"/>
      <w:szCs w:val="56"/>
      <w:lang w:val="en-US"/>
    </w:rPr>
  </w:style>
  <w:style w:type="paragraph" w:customStyle="1" w:styleId="xmsolistparagraph">
    <w:name w:val="x_msolistparagraph"/>
    <w:basedOn w:val="Normal"/>
    <w:rsid w:val="00311E27"/>
    <w:pPr>
      <w:widowControl/>
      <w:autoSpaceDE/>
      <w:autoSpaceDN/>
      <w:spacing w:line="276" w:lineRule="auto"/>
      <w:ind w:left="720"/>
      <w:jc w:val="both"/>
    </w:pPr>
    <w:rPr>
      <w:rFonts w:ascii="Times New Roman" w:eastAsia="Times New Roman" w:hAnsi="Times New Roman" w:cs="Times New Roman"/>
      <w:sz w:val="20"/>
      <w:szCs w:val="20"/>
      <w:lang w:eastAsia="en-GB"/>
    </w:rPr>
  </w:style>
  <w:style w:type="paragraph" w:customStyle="1" w:styleId="xmsonormal">
    <w:name w:val="x_msonormal"/>
    <w:basedOn w:val="Normal"/>
    <w:uiPriority w:val="99"/>
    <w:rsid w:val="00691AC6"/>
    <w:pPr>
      <w:widowControl/>
      <w:autoSpaceDE/>
      <w:autoSpaceDN/>
    </w:pPr>
    <w:rPr>
      <w:rFonts w:eastAsiaTheme="minorHAnsi"/>
      <w:lang w:eastAsia="en-GB"/>
    </w:rPr>
  </w:style>
  <w:style w:type="paragraph" w:styleId="FootnoteText">
    <w:name w:val="footnote text"/>
    <w:basedOn w:val="Normal"/>
    <w:link w:val="FootnoteTextChar"/>
    <w:uiPriority w:val="99"/>
    <w:semiHidden/>
    <w:unhideWhenUsed/>
    <w:rsid w:val="007D586A"/>
    <w:rPr>
      <w:sz w:val="20"/>
      <w:szCs w:val="20"/>
    </w:rPr>
  </w:style>
  <w:style w:type="character" w:customStyle="1" w:styleId="FootnoteTextChar">
    <w:name w:val="Footnote Text Char"/>
    <w:basedOn w:val="DefaultParagraphFont"/>
    <w:link w:val="FootnoteText"/>
    <w:uiPriority w:val="99"/>
    <w:semiHidden/>
    <w:rsid w:val="007D586A"/>
    <w:rPr>
      <w:rFonts w:ascii="Calibri" w:eastAsia="Calibri" w:hAnsi="Calibri" w:cs="Calibri"/>
      <w:sz w:val="20"/>
      <w:szCs w:val="20"/>
      <w:lang w:val="en-US"/>
    </w:rPr>
  </w:style>
  <w:style w:type="character" w:styleId="FootnoteReference">
    <w:name w:val="footnote reference"/>
    <w:basedOn w:val="DefaultParagraphFont"/>
    <w:uiPriority w:val="99"/>
    <w:semiHidden/>
    <w:unhideWhenUsed/>
    <w:rsid w:val="007D586A"/>
    <w:rPr>
      <w:vertAlign w:val="superscript"/>
    </w:rPr>
  </w:style>
  <w:style w:type="paragraph" w:styleId="NormalWeb">
    <w:name w:val="Normal (Web)"/>
    <w:basedOn w:val="Normal"/>
    <w:uiPriority w:val="99"/>
    <w:unhideWhenUsed/>
    <w:rsid w:val="00916C11"/>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57A51"/>
    <w:rPr>
      <w:color w:val="605E5C"/>
      <w:shd w:val="clear" w:color="auto" w:fill="E1DFDD"/>
    </w:rPr>
  </w:style>
  <w:style w:type="table" w:styleId="GridTable1Light">
    <w:name w:val="Grid Table 1 Light"/>
    <w:basedOn w:val="TableNormal"/>
    <w:uiPriority w:val="46"/>
    <w:rsid w:val="00BE7EF7"/>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E733E9"/>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1592">
      <w:bodyDiv w:val="1"/>
      <w:marLeft w:val="0"/>
      <w:marRight w:val="0"/>
      <w:marTop w:val="0"/>
      <w:marBottom w:val="0"/>
      <w:divBdr>
        <w:top w:val="none" w:sz="0" w:space="0" w:color="auto"/>
        <w:left w:val="none" w:sz="0" w:space="0" w:color="auto"/>
        <w:bottom w:val="none" w:sz="0" w:space="0" w:color="auto"/>
        <w:right w:val="none" w:sz="0" w:space="0" w:color="auto"/>
      </w:divBdr>
    </w:div>
    <w:div w:id="189994086">
      <w:bodyDiv w:val="1"/>
      <w:marLeft w:val="0"/>
      <w:marRight w:val="0"/>
      <w:marTop w:val="0"/>
      <w:marBottom w:val="0"/>
      <w:divBdr>
        <w:top w:val="none" w:sz="0" w:space="0" w:color="auto"/>
        <w:left w:val="none" w:sz="0" w:space="0" w:color="auto"/>
        <w:bottom w:val="none" w:sz="0" w:space="0" w:color="auto"/>
        <w:right w:val="none" w:sz="0" w:space="0" w:color="auto"/>
      </w:divBdr>
    </w:div>
    <w:div w:id="215893176">
      <w:bodyDiv w:val="1"/>
      <w:marLeft w:val="0"/>
      <w:marRight w:val="0"/>
      <w:marTop w:val="0"/>
      <w:marBottom w:val="0"/>
      <w:divBdr>
        <w:top w:val="none" w:sz="0" w:space="0" w:color="auto"/>
        <w:left w:val="none" w:sz="0" w:space="0" w:color="auto"/>
        <w:bottom w:val="none" w:sz="0" w:space="0" w:color="auto"/>
        <w:right w:val="none" w:sz="0" w:space="0" w:color="auto"/>
      </w:divBdr>
    </w:div>
    <w:div w:id="251085498">
      <w:bodyDiv w:val="1"/>
      <w:marLeft w:val="0"/>
      <w:marRight w:val="0"/>
      <w:marTop w:val="0"/>
      <w:marBottom w:val="0"/>
      <w:divBdr>
        <w:top w:val="none" w:sz="0" w:space="0" w:color="auto"/>
        <w:left w:val="none" w:sz="0" w:space="0" w:color="auto"/>
        <w:bottom w:val="none" w:sz="0" w:space="0" w:color="auto"/>
        <w:right w:val="none" w:sz="0" w:space="0" w:color="auto"/>
      </w:divBdr>
    </w:div>
    <w:div w:id="314917828">
      <w:bodyDiv w:val="1"/>
      <w:marLeft w:val="0"/>
      <w:marRight w:val="0"/>
      <w:marTop w:val="0"/>
      <w:marBottom w:val="0"/>
      <w:divBdr>
        <w:top w:val="none" w:sz="0" w:space="0" w:color="auto"/>
        <w:left w:val="none" w:sz="0" w:space="0" w:color="auto"/>
        <w:bottom w:val="none" w:sz="0" w:space="0" w:color="auto"/>
        <w:right w:val="none" w:sz="0" w:space="0" w:color="auto"/>
      </w:divBdr>
    </w:div>
    <w:div w:id="456333867">
      <w:bodyDiv w:val="1"/>
      <w:marLeft w:val="0"/>
      <w:marRight w:val="0"/>
      <w:marTop w:val="0"/>
      <w:marBottom w:val="0"/>
      <w:divBdr>
        <w:top w:val="none" w:sz="0" w:space="0" w:color="auto"/>
        <w:left w:val="none" w:sz="0" w:space="0" w:color="auto"/>
        <w:bottom w:val="none" w:sz="0" w:space="0" w:color="auto"/>
        <w:right w:val="none" w:sz="0" w:space="0" w:color="auto"/>
      </w:divBdr>
    </w:div>
    <w:div w:id="782110324">
      <w:bodyDiv w:val="1"/>
      <w:marLeft w:val="0"/>
      <w:marRight w:val="0"/>
      <w:marTop w:val="0"/>
      <w:marBottom w:val="0"/>
      <w:divBdr>
        <w:top w:val="none" w:sz="0" w:space="0" w:color="auto"/>
        <w:left w:val="none" w:sz="0" w:space="0" w:color="auto"/>
        <w:bottom w:val="none" w:sz="0" w:space="0" w:color="auto"/>
        <w:right w:val="none" w:sz="0" w:space="0" w:color="auto"/>
      </w:divBdr>
    </w:div>
    <w:div w:id="788545960">
      <w:bodyDiv w:val="1"/>
      <w:marLeft w:val="0"/>
      <w:marRight w:val="0"/>
      <w:marTop w:val="0"/>
      <w:marBottom w:val="0"/>
      <w:divBdr>
        <w:top w:val="none" w:sz="0" w:space="0" w:color="auto"/>
        <w:left w:val="none" w:sz="0" w:space="0" w:color="auto"/>
        <w:bottom w:val="none" w:sz="0" w:space="0" w:color="auto"/>
        <w:right w:val="none" w:sz="0" w:space="0" w:color="auto"/>
      </w:divBdr>
    </w:div>
    <w:div w:id="885221324">
      <w:bodyDiv w:val="1"/>
      <w:marLeft w:val="0"/>
      <w:marRight w:val="0"/>
      <w:marTop w:val="0"/>
      <w:marBottom w:val="0"/>
      <w:divBdr>
        <w:top w:val="none" w:sz="0" w:space="0" w:color="auto"/>
        <w:left w:val="none" w:sz="0" w:space="0" w:color="auto"/>
        <w:bottom w:val="none" w:sz="0" w:space="0" w:color="auto"/>
        <w:right w:val="none" w:sz="0" w:space="0" w:color="auto"/>
      </w:divBdr>
    </w:div>
    <w:div w:id="1011026250">
      <w:bodyDiv w:val="1"/>
      <w:marLeft w:val="0"/>
      <w:marRight w:val="0"/>
      <w:marTop w:val="0"/>
      <w:marBottom w:val="0"/>
      <w:divBdr>
        <w:top w:val="none" w:sz="0" w:space="0" w:color="auto"/>
        <w:left w:val="none" w:sz="0" w:space="0" w:color="auto"/>
        <w:bottom w:val="none" w:sz="0" w:space="0" w:color="auto"/>
        <w:right w:val="none" w:sz="0" w:space="0" w:color="auto"/>
      </w:divBdr>
    </w:div>
    <w:div w:id="1378241996">
      <w:bodyDiv w:val="1"/>
      <w:marLeft w:val="0"/>
      <w:marRight w:val="0"/>
      <w:marTop w:val="0"/>
      <w:marBottom w:val="0"/>
      <w:divBdr>
        <w:top w:val="none" w:sz="0" w:space="0" w:color="auto"/>
        <w:left w:val="none" w:sz="0" w:space="0" w:color="auto"/>
        <w:bottom w:val="none" w:sz="0" w:space="0" w:color="auto"/>
        <w:right w:val="none" w:sz="0" w:space="0" w:color="auto"/>
      </w:divBdr>
    </w:div>
    <w:div w:id="1504661276">
      <w:bodyDiv w:val="1"/>
      <w:marLeft w:val="0"/>
      <w:marRight w:val="0"/>
      <w:marTop w:val="0"/>
      <w:marBottom w:val="0"/>
      <w:divBdr>
        <w:top w:val="none" w:sz="0" w:space="0" w:color="auto"/>
        <w:left w:val="none" w:sz="0" w:space="0" w:color="auto"/>
        <w:bottom w:val="none" w:sz="0" w:space="0" w:color="auto"/>
        <w:right w:val="none" w:sz="0" w:space="0" w:color="auto"/>
      </w:divBdr>
    </w:div>
    <w:div w:id="1568344461">
      <w:bodyDiv w:val="1"/>
      <w:marLeft w:val="0"/>
      <w:marRight w:val="0"/>
      <w:marTop w:val="0"/>
      <w:marBottom w:val="0"/>
      <w:divBdr>
        <w:top w:val="none" w:sz="0" w:space="0" w:color="auto"/>
        <w:left w:val="none" w:sz="0" w:space="0" w:color="auto"/>
        <w:bottom w:val="none" w:sz="0" w:space="0" w:color="auto"/>
        <w:right w:val="none" w:sz="0" w:space="0" w:color="auto"/>
      </w:divBdr>
    </w:div>
    <w:div w:id="1713849685">
      <w:bodyDiv w:val="1"/>
      <w:marLeft w:val="0"/>
      <w:marRight w:val="0"/>
      <w:marTop w:val="0"/>
      <w:marBottom w:val="0"/>
      <w:divBdr>
        <w:top w:val="none" w:sz="0" w:space="0" w:color="auto"/>
        <w:left w:val="none" w:sz="0" w:space="0" w:color="auto"/>
        <w:bottom w:val="none" w:sz="0" w:space="0" w:color="auto"/>
        <w:right w:val="none" w:sz="0" w:space="0" w:color="auto"/>
      </w:divBdr>
    </w:div>
    <w:div w:id="1783066181">
      <w:bodyDiv w:val="1"/>
      <w:marLeft w:val="0"/>
      <w:marRight w:val="0"/>
      <w:marTop w:val="0"/>
      <w:marBottom w:val="0"/>
      <w:divBdr>
        <w:top w:val="none" w:sz="0" w:space="0" w:color="auto"/>
        <w:left w:val="none" w:sz="0" w:space="0" w:color="auto"/>
        <w:bottom w:val="none" w:sz="0" w:space="0" w:color="auto"/>
        <w:right w:val="none" w:sz="0" w:space="0" w:color="auto"/>
      </w:divBdr>
    </w:div>
    <w:div w:id="1823766611">
      <w:bodyDiv w:val="1"/>
      <w:marLeft w:val="0"/>
      <w:marRight w:val="0"/>
      <w:marTop w:val="0"/>
      <w:marBottom w:val="0"/>
      <w:divBdr>
        <w:top w:val="none" w:sz="0" w:space="0" w:color="auto"/>
        <w:left w:val="none" w:sz="0" w:space="0" w:color="auto"/>
        <w:bottom w:val="none" w:sz="0" w:space="0" w:color="auto"/>
        <w:right w:val="none" w:sz="0" w:space="0" w:color="auto"/>
      </w:divBdr>
    </w:div>
    <w:div w:id="1888905408">
      <w:bodyDiv w:val="1"/>
      <w:marLeft w:val="0"/>
      <w:marRight w:val="0"/>
      <w:marTop w:val="0"/>
      <w:marBottom w:val="0"/>
      <w:divBdr>
        <w:top w:val="none" w:sz="0" w:space="0" w:color="auto"/>
        <w:left w:val="none" w:sz="0" w:space="0" w:color="auto"/>
        <w:bottom w:val="none" w:sz="0" w:space="0" w:color="auto"/>
        <w:right w:val="none" w:sz="0" w:space="0" w:color="auto"/>
      </w:divBdr>
    </w:div>
    <w:div w:id="1980919670">
      <w:bodyDiv w:val="1"/>
      <w:marLeft w:val="0"/>
      <w:marRight w:val="0"/>
      <w:marTop w:val="0"/>
      <w:marBottom w:val="0"/>
      <w:divBdr>
        <w:top w:val="none" w:sz="0" w:space="0" w:color="auto"/>
        <w:left w:val="none" w:sz="0" w:space="0" w:color="auto"/>
        <w:bottom w:val="none" w:sz="0" w:space="0" w:color="auto"/>
        <w:right w:val="none" w:sz="0" w:space="0" w:color="auto"/>
      </w:divBdr>
    </w:div>
    <w:div w:id="1985961208">
      <w:bodyDiv w:val="1"/>
      <w:marLeft w:val="0"/>
      <w:marRight w:val="0"/>
      <w:marTop w:val="0"/>
      <w:marBottom w:val="0"/>
      <w:divBdr>
        <w:top w:val="none" w:sz="0" w:space="0" w:color="auto"/>
        <w:left w:val="none" w:sz="0" w:space="0" w:color="auto"/>
        <w:bottom w:val="none" w:sz="0" w:space="0" w:color="auto"/>
        <w:right w:val="none" w:sz="0" w:space="0" w:color="auto"/>
      </w:divBdr>
    </w:div>
    <w:div w:id="2089422281">
      <w:bodyDiv w:val="1"/>
      <w:marLeft w:val="0"/>
      <w:marRight w:val="0"/>
      <w:marTop w:val="0"/>
      <w:marBottom w:val="0"/>
      <w:divBdr>
        <w:top w:val="none" w:sz="0" w:space="0" w:color="auto"/>
        <w:left w:val="none" w:sz="0" w:space="0" w:color="auto"/>
        <w:bottom w:val="none" w:sz="0" w:space="0" w:color="auto"/>
        <w:right w:val="none" w:sz="0" w:space="0" w:color="auto"/>
      </w:divBdr>
    </w:div>
    <w:div w:id="213366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qip.org.uk/resource/identification-and-management-of-cause-for-concern-in-national-clinical-audits-and-clinical-outcome-review-programmes-in-england-and-wales/" TargetMode="External"/><Relationship Id="rId18" Type="http://schemas.openxmlformats.org/officeDocument/2006/relationships/hyperlink" Target="https://digital.nhs.uk/data-and-information/information-standards/governance/legislative-changes-and-mandatory-information-standards" TargetMode="External"/><Relationship Id="rId26" Type="http://schemas.openxmlformats.org/officeDocument/2006/relationships/hyperlink" Target="https://www.hqip.org.uk/national-programmes/clinical-audit-benchmarking/" TargetMode="External"/><Relationship Id="rId21" Type="http://schemas.openxmlformats.org/officeDocument/2006/relationships/hyperlink" Target="http://www.gov.uk/guidance/accessibility-requirements-for-public-sector-websites-and-apps" TargetMode="External"/><Relationship Id="rId34" Type="http://schemas.openxmlformats.org/officeDocument/2006/relationships/hyperlink" Target="https://www.england.nhs.uk/long-read/national-bundle-of-care-for-children-and-young-people-with-epilepsy/" TargetMode="External"/><Relationship Id="rId7" Type="http://schemas.openxmlformats.org/officeDocument/2006/relationships/endnotes" Target="endnotes.xml"/><Relationship Id="rId12" Type="http://schemas.openxmlformats.org/officeDocument/2006/relationships/hyperlink" Target="https://www.hqip.org.uk/outlier-management-for-national-clinical-audits/" TargetMode="External"/><Relationship Id="rId17" Type="http://schemas.openxmlformats.org/officeDocument/2006/relationships/hyperlink" Target="https://www.england.nhs.uk/about/equality/equality-hub/national-healthcare-inequalities-improvement-programme/core20plus5/core20plus5-cyp/" TargetMode="External"/><Relationship Id="rId25" Type="http://schemas.openxmlformats.org/officeDocument/2006/relationships/hyperlink" Target="https://jcc.nhs.wales/" TargetMode="External"/><Relationship Id="rId33" Type="http://schemas.openxmlformats.org/officeDocument/2006/relationships/hyperlink" Target="https://www.england.nhs.uk/long-read/25-26-nhsps-annex-c-guidance-on-best-practice-tariffs/" TargetMode="External"/><Relationship Id="rId2" Type="http://schemas.openxmlformats.org/officeDocument/2006/relationships/numbering" Target="numbering.xml"/><Relationship Id="rId16" Type="http://schemas.openxmlformats.org/officeDocument/2006/relationships/hyperlink" Target="https://www.england.nhs.uk/about/equality/equality-hub/national-healthcare-inequalities-improvement-programme/core20plus5/core20plus5-cyp/" TargetMode="External"/><Relationship Id="rId20" Type="http://schemas.openxmlformats.org/officeDocument/2006/relationships/hyperlink" Target="http://www.rcpch.ac.uk/sites/default/files/2025-04/E12%20External%20Data%20Flow%20Diagram_April2025_0.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qip.org.uk/a-z-of-nca/national-epilepsy-12-audit/" TargetMode="External"/><Relationship Id="rId24" Type="http://schemas.openxmlformats.org/officeDocument/2006/relationships/hyperlink" Target="https://www.gov.uk/service-manual/user-research" TargetMode="External"/><Relationship Id="rId32" Type="http://schemas.openxmlformats.org/officeDocument/2006/relationships/hyperlink" Target="https://www.nice.org.uk/guidance/qs21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tes.google.com/nihr.ac.uk/pi-standards/home" TargetMode="External"/><Relationship Id="rId23" Type="http://schemas.openxmlformats.org/officeDocument/2006/relationships/hyperlink" Target="https://www.gov.uk/service-manual/technology/testing-with-assistive-technologies" TargetMode="External"/><Relationship Id="rId28" Type="http://schemas.openxmlformats.org/officeDocument/2006/relationships/hyperlink" Target="https://model.nhs.uk" TargetMode="External"/><Relationship Id="rId36" Type="http://schemas.openxmlformats.org/officeDocument/2006/relationships/fontTable" Target="fontTable.xml"/><Relationship Id="rId10" Type="http://schemas.openxmlformats.org/officeDocument/2006/relationships/hyperlink" Target="https://www.rcpch.ac.uk/work-we-do/clinical-audits/epilepsy12" TargetMode="External"/><Relationship Id="rId19" Type="http://schemas.openxmlformats.org/officeDocument/2006/relationships/hyperlink" Target="https://content.govdelivery.com/accounts/UKNHSHRA/bulletins/391a12c" TargetMode="External"/><Relationship Id="rId31" Type="http://schemas.openxmlformats.org/officeDocument/2006/relationships/hyperlink" Target="https://www.nice.org.uk/guidance/cg13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qip.org.uk/involving-patients/ppi-strategy" TargetMode="External"/><Relationship Id="rId22" Type="http://schemas.openxmlformats.org/officeDocument/2006/relationships/hyperlink" Target="https://www.gov.uk/service-manual/helping-people-to-use-your-service/understanding-wcag-20" TargetMode="External"/><Relationship Id="rId27" Type="http://schemas.openxmlformats.org/officeDocument/2006/relationships/hyperlink" Target="http://gettingitrightfirsttime.co.uk/" TargetMode="External"/><Relationship Id="rId30" Type="http://schemas.openxmlformats.org/officeDocument/2006/relationships/hyperlink" Target="https://www.nice.org.uk/guidance/ng217" TargetMode="External"/><Relationship Id="rId35" Type="http://schemas.openxmlformats.org/officeDocument/2006/relationships/hyperlink" Target="https://www.gov.wales/quality-statement-neurological-conditions-html"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69206-A7F2-4319-AA84-F466832BF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12097</Words>
  <Characters>68956</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Campbell</dc:creator>
  <cp:keywords/>
  <dc:description/>
  <cp:lastModifiedBy>Tina Strack</cp:lastModifiedBy>
  <cp:revision>2</cp:revision>
  <dcterms:created xsi:type="dcterms:W3CDTF">2026-01-20T09:02:00Z</dcterms:created>
  <dcterms:modified xsi:type="dcterms:W3CDTF">2026-01-20T09:02:00Z</dcterms:modified>
</cp:coreProperties>
</file>