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5150" w14:textId="3C0D57EA" w:rsidR="008131D2" w:rsidRPr="0058197C" w:rsidRDefault="002B5461" w:rsidP="004A60C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Direct Award</w:t>
      </w:r>
      <w:r w:rsidR="00490A5D">
        <w:rPr>
          <w:rFonts w:cstheme="minorHAnsi"/>
          <w:b/>
          <w:bCs/>
          <w:sz w:val="28"/>
          <w:szCs w:val="28"/>
        </w:rPr>
        <w:t xml:space="preserve"> </w:t>
      </w:r>
      <w:r w:rsidR="00F35361" w:rsidRPr="007705B0">
        <w:rPr>
          <w:rFonts w:cstheme="minorHAnsi"/>
          <w:b/>
          <w:bCs/>
          <w:sz w:val="28"/>
          <w:szCs w:val="28"/>
        </w:rPr>
        <w:t>Process</w:t>
      </w:r>
    </w:p>
    <w:tbl>
      <w:tblPr>
        <w:tblW w:w="49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2553"/>
        <w:gridCol w:w="1209"/>
        <w:gridCol w:w="1203"/>
        <w:gridCol w:w="2342"/>
      </w:tblGrid>
      <w:tr w:rsidR="008131D2" w:rsidRPr="005A6C60" w14:paraId="038BEEEB" w14:textId="77777777" w:rsidTr="00821E83">
        <w:trPr>
          <w:trHeight w:val="340"/>
        </w:trPr>
        <w:tc>
          <w:tcPr>
            <w:tcW w:w="24884" w:type="dxa"/>
            <w:gridSpan w:val="5"/>
            <w:shd w:val="clear" w:color="auto" w:fill="D3374A"/>
            <w:vAlign w:val="center"/>
          </w:tcPr>
          <w:p w14:paraId="39DA3765" w14:textId="77777777" w:rsidR="008131D2" w:rsidRPr="005A6C60" w:rsidRDefault="008131D2" w:rsidP="004A60CA">
            <w:pPr>
              <w:spacing w:afterLines="50" w:after="120" w:line="240" w:lineRule="auto"/>
              <w:rPr>
                <w:rFonts w:cstheme="minorHAnsi"/>
                <w:b/>
                <w:bCs/>
              </w:rPr>
            </w:pPr>
            <w:r w:rsidRPr="005A6C60">
              <w:rPr>
                <w:rFonts w:cstheme="minorHAnsi"/>
                <w:b/>
                <w:bCs/>
                <w:color w:val="FFFFFF" w:themeColor="background1"/>
              </w:rPr>
              <w:t>1.  Procurement Summary Information</w:t>
            </w:r>
          </w:p>
        </w:tc>
      </w:tr>
      <w:tr w:rsidR="008131D2" w:rsidRPr="005A6C60" w14:paraId="2B1B49F1" w14:textId="77777777" w:rsidTr="00821E83">
        <w:trPr>
          <w:trHeight w:val="337"/>
        </w:trPr>
        <w:tc>
          <w:tcPr>
            <w:tcW w:w="7158" w:type="dxa"/>
            <w:shd w:val="clear" w:color="auto" w:fill="auto"/>
          </w:tcPr>
          <w:p w14:paraId="2A595CF4" w14:textId="77777777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</w:rPr>
              <w:t>Contract Title:</w:t>
            </w:r>
          </w:p>
        </w:tc>
        <w:tc>
          <w:tcPr>
            <w:tcW w:w="17726" w:type="dxa"/>
            <w:gridSpan w:val="4"/>
          </w:tcPr>
          <w:p w14:paraId="414FBD3B" w14:textId="49A091DA" w:rsidR="00FF3082" w:rsidRPr="005A6C60" w:rsidRDefault="00DC37AF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 w:rsidRPr="00DC37AF">
              <w:rPr>
                <w:rFonts w:cstheme="minorHAnsi"/>
                <w:bCs/>
              </w:rPr>
              <w:t>Blood Extraction Kit</w:t>
            </w:r>
          </w:p>
        </w:tc>
      </w:tr>
      <w:tr w:rsidR="00DC37AF" w:rsidRPr="005A6C60" w14:paraId="6CF262C3" w14:textId="77777777" w:rsidTr="00821E83">
        <w:trPr>
          <w:trHeight w:val="227"/>
        </w:trPr>
        <w:tc>
          <w:tcPr>
            <w:tcW w:w="7158" w:type="dxa"/>
            <w:shd w:val="clear" w:color="auto" w:fill="auto"/>
          </w:tcPr>
          <w:p w14:paraId="50F05D4B" w14:textId="58D6FA90" w:rsidR="00DC37AF" w:rsidRPr="005A6C60" w:rsidRDefault="00DC37AF" w:rsidP="00DC37AF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BF0F5E">
              <w:rPr>
                <w:rFonts w:cstheme="minorHAnsi"/>
                <w:bCs/>
              </w:rPr>
              <w:t xml:space="preserve">CU.1872.HM </w:t>
            </w:r>
          </w:p>
        </w:tc>
        <w:tc>
          <w:tcPr>
            <w:tcW w:w="17726" w:type="dxa"/>
            <w:gridSpan w:val="4"/>
          </w:tcPr>
          <w:p w14:paraId="3037EFAC" w14:textId="1141DE76" w:rsidR="00DC37AF" w:rsidRPr="005A6C60" w:rsidRDefault="00DC37AF" w:rsidP="00DC37AF">
            <w:pPr>
              <w:spacing w:afterLines="20" w:after="48" w:line="240" w:lineRule="auto"/>
              <w:rPr>
                <w:rFonts w:cstheme="minorHAnsi"/>
                <w:bCs/>
              </w:rPr>
            </w:pPr>
            <w:r w:rsidRPr="00BF0F5E">
              <w:rPr>
                <w:rFonts w:cstheme="minorHAnsi"/>
                <w:bCs/>
              </w:rPr>
              <w:t xml:space="preserve">CU.1872.HM </w:t>
            </w:r>
          </w:p>
        </w:tc>
      </w:tr>
      <w:tr w:rsidR="002E64B2" w:rsidRPr="005A6C60" w14:paraId="6ED0F0EA" w14:textId="77777777" w:rsidTr="00821E83">
        <w:trPr>
          <w:trHeight w:val="227"/>
        </w:trPr>
        <w:tc>
          <w:tcPr>
            <w:tcW w:w="7158" w:type="dxa"/>
            <w:shd w:val="clear" w:color="auto" w:fill="auto"/>
          </w:tcPr>
          <w:p w14:paraId="744FA29A" w14:textId="3F5BCA1B" w:rsidR="002E64B2" w:rsidRPr="005A6C60" w:rsidRDefault="002E64B2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</w:rPr>
              <w:t>Authority Name and Address:</w:t>
            </w:r>
          </w:p>
        </w:tc>
        <w:tc>
          <w:tcPr>
            <w:tcW w:w="17726" w:type="dxa"/>
            <w:gridSpan w:val="4"/>
          </w:tcPr>
          <w:p w14:paraId="0091A76F" w14:textId="0F7D7B76" w:rsidR="002E64B2" w:rsidRPr="005A6C60" w:rsidRDefault="002E64B2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 w:rsidRPr="005A6C60">
              <w:rPr>
                <w:rFonts w:cstheme="minorHAnsi"/>
                <w:bCs/>
              </w:rPr>
              <w:t>Cardiff University, Main Building, Cathays Park, Cardiff CF10 3AT.</w:t>
            </w:r>
          </w:p>
        </w:tc>
      </w:tr>
      <w:tr w:rsidR="008131D2" w:rsidRPr="005A6C60" w14:paraId="3EF03ACD" w14:textId="77777777" w:rsidTr="00821E83">
        <w:trPr>
          <w:trHeight w:val="227"/>
        </w:trPr>
        <w:tc>
          <w:tcPr>
            <w:tcW w:w="7158" w:type="dxa"/>
            <w:shd w:val="clear" w:color="auto" w:fill="auto"/>
          </w:tcPr>
          <w:p w14:paraId="29C3C568" w14:textId="51DDF93C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</w:rPr>
              <w:t>Estimated Contract Value over maximum term (ex vat):</w:t>
            </w:r>
            <w:r w:rsidR="009B0AB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908" w:type="dxa"/>
          </w:tcPr>
          <w:p w14:paraId="0DE27691" w14:textId="5306FFD0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 w:rsidRPr="005A6C60">
              <w:rPr>
                <w:rFonts w:cstheme="minorHAnsi"/>
                <w:bCs/>
              </w:rPr>
              <w:t>£</w:t>
            </w:r>
            <w:r w:rsidR="00A848D7" w:rsidRPr="00A848D7">
              <w:rPr>
                <w:rFonts w:cstheme="minorHAnsi"/>
                <w:bCs/>
              </w:rPr>
              <w:t xml:space="preserve">30,614 </w:t>
            </w:r>
            <w:proofErr w:type="spellStart"/>
            <w:r w:rsidR="00CB663F" w:rsidRPr="005A6C60">
              <w:rPr>
                <w:rFonts w:cstheme="minorHAnsi"/>
                <w:bCs/>
              </w:rPr>
              <w:t>exc</w:t>
            </w:r>
            <w:proofErr w:type="spellEnd"/>
            <w:r w:rsidR="00CB663F" w:rsidRPr="005A6C60">
              <w:rPr>
                <w:rFonts w:cstheme="minorHAnsi"/>
                <w:bCs/>
              </w:rPr>
              <w:t xml:space="preserve"> VAT</w:t>
            </w:r>
            <w:r w:rsidR="00442A6F">
              <w:rPr>
                <w:rFonts w:cstheme="minorHAnsi"/>
                <w:bCs/>
              </w:rPr>
              <w:t xml:space="preserve"> </w:t>
            </w:r>
          </w:p>
          <w:p w14:paraId="5678F647" w14:textId="06DC0442" w:rsidR="00956982" w:rsidRPr="005A6C60" w:rsidRDefault="00956982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</w:p>
        </w:tc>
        <w:tc>
          <w:tcPr>
            <w:tcW w:w="5908" w:type="dxa"/>
            <w:gridSpan w:val="2"/>
          </w:tcPr>
          <w:p w14:paraId="798CF747" w14:textId="77777777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</w:rPr>
              <w:t>Budget (inc vat where applicable):</w:t>
            </w:r>
          </w:p>
        </w:tc>
        <w:tc>
          <w:tcPr>
            <w:tcW w:w="5910" w:type="dxa"/>
          </w:tcPr>
          <w:p w14:paraId="2FF757CE" w14:textId="20150679" w:rsidR="00956982" w:rsidRPr="005A6C60" w:rsidRDefault="00FF3082" w:rsidP="00F72C72">
            <w:pPr>
              <w:spacing w:afterLines="20" w:after="48" w:line="240" w:lineRule="auto"/>
              <w:rPr>
                <w:rFonts w:cstheme="minorHAnsi"/>
                <w:bCs/>
              </w:rPr>
            </w:pPr>
            <w:r w:rsidRPr="005A6C60">
              <w:rPr>
                <w:rFonts w:cstheme="minorHAnsi"/>
                <w:bCs/>
              </w:rPr>
              <w:t>£</w:t>
            </w:r>
            <w:r w:rsidR="00821E83" w:rsidRPr="00821E83">
              <w:rPr>
                <w:rFonts w:cstheme="minorHAnsi"/>
                <w:bCs/>
              </w:rPr>
              <w:t>36,736.8</w:t>
            </w:r>
          </w:p>
        </w:tc>
      </w:tr>
      <w:tr w:rsidR="00A51D2B" w:rsidRPr="005A6C60" w14:paraId="5444E39E" w14:textId="77777777" w:rsidTr="00821E83">
        <w:trPr>
          <w:trHeight w:val="227"/>
        </w:trPr>
        <w:tc>
          <w:tcPr>
            <w:tcW w:w="7158" w:type="dxa"/>
            <w:shd w:val="clear" w:color="auto" w:fill="auto"/>
          </w:tcPr>
          <w:p w14:paraId="690041F1" w14:textId="3DD2A64A" w:rsidR="00A51D2B" w:rsidRPr="005A6C60" w:rsidRDefault="00A51D2B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</w:rPr>
              <w:t>Forecast Saving (ex VAT) and Category</w:t>
            </w:r>
            <w:r w:rsidR="00ED3DBB" w:rsidRPr="005A6C60">
              <w:rPr>
                <w:rFonts w:cstheme="minorHAnsi"/>
                <w:b/>
              </w:rPr>
              <w:t>:</w:t>
            </w:r>
          </w:p>
        </w:tc>
        <w:tc>
          <w:tcPr>
            <w:tcW w:w="17726" w:type="dxa"/>
            <w:gridSpan w:val="4"/>
          </w:tcPr>
          <w:p w14:paraId="0E866106" w14:textId="439417BA" w:rsidR="00A51D2B" w:rsidRPr="005A6C60" w:rsidRDefault="00A848D7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N/A</w:t>
            </w:r>
          </w:p>
        </w:tc>
      </w:tr>
      <w:tr w:rsidR="00C264B3" w:rsidRPr="005A6C60" w14:paraId="3C4763BC" w14:textId="77777777" w:rsidTr="00821E83">
        <w:trPr>
          <w:trHeight w:val="227"/>
        </w:trPr>
        <w:tc>
          <w:tcPr>
            <w:tcW w:w="7158" w:type="dxa"/>
            <w:shd w:val="clear" w:color="auto" w:fill="auto"/>
          </w:tcPr>
          <w:p w14:paraId="3EF98D70" w14:textId="32D66895" w:rsidR="00C264B3" w:rsidRPr="005A6C60" w:rsidRDefault="00C264B3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</w:rPr>
              <w:t>Risk Rating</w:t>
            </w:r>
            <w:r w:rsidR="00AA1F01" w:rsidRPr="005A6C60">
              <w:rPr>
                <w:rFonts w:cstheme="minorHAnsi"/>
                <w:b/>
              </w:rPr>
              <w:t xml:space="preserve"> </w:t>
            </w:r>
            <w:r w:rsidRPr="005A6C60">
              <w:rPr>
                <w:rFonts w:cstheme="minorHAnsi"/>
                <w:b/>
              </w:rPr>
              <w:t>(for contracts valued £100k and above)</w:t>
            </w:r>
            <w:r w:rsidR="00AA1F01" w:rsidRPr="005A6C60">
              <w:rPr>
                <w:rFonts w:cstheme="minorHAnsi"/>
                <w:b/>
              </w:rPr>
              <w:t xml:space="preserve"> – see Appendix 1</w:t>
            </w:r>
            <w:r w:rsidRPr="005A6C60">
              <w:rPr>
                <w:rFonts w:cstheme="minorHAnsi"/>
                <w:b/>
              </w:rPr>
              <w:t>:</w:t>
            </w:r>
          </w:p>
        </w:tc>
        <w:tc>
          <w:tcPr>
            <w:tcW w:w="17726" w:type="dxa"/>
            <w:gridSpan w:val="4"/>
          </w:tcPr>
          <w:p w14:paraId="06B3D6E3" w14:textId="585AB2AB" w:rsidR="00C264B3" w:rsidRPr="005A6C60" w:rsidRDefault="00A848D7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N/A</w:t>
            </w:r>
          </w:p>
        </w:tc>
      </w:tr>
      <w:tr w:rsidR="008131D2" w:rsidRPr="005A6C60" w14:paraId="4B3F90DC" w14:textId="77777777" w:rsidTr="00821E83">
        <w:trPr>
          <w:trHeight w:val="227"/>
        </w:trPr>
        <w:tc>
          <w:tcPr>
            <w:tcW w:w="7158" w:type="dxa"/>
            <w:shd w:val="clear" w:color="auto" w:fill="auto"/>
          </w:tcPr>
          <w:p w14:paraId="1FBBEB6F" w14:textId="77777777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</w:rPr>
              <w:t>Procurement Lead:</w:t>
            </w:r>
          </w:p>
        </w:tc>
        <w:tc>
          <w:tcPr>
            <w:tcW w:w="17726" w:type="dxa"/>
            <w:gridSpan w:val="4"/>
          </w:tcPr>
          <w:p w14:paraId="0743B33B" w14:textId="0EE0E354" w:rsidR="008131D2" w:rsidRPr="005A6C60" w:rsidRDefault="00A848D7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Harry Morris</w:t>
            </w:r>
          </w:p>
        </w:tc>
      </w:tr>
      <w:tr w:rsidR="008131D2" w:rsidRPr="005A6C60" w14:paraId="16237D19" w14:textId="77777777" w:rsidTr="00821E83">
        <w:trPr>
          <w:trHeight w:val="227"/>
        </w:trPr>
        <w:tc>
          <w:tcPr>
            <w:tcW w:w="7158" w:type="dxa"/>
            <w:vMerge w:val="restart"/>
            <w:shd w:val="clear" w:color="auto" w:fill="auto"/>
          </w:tcPr>
          <w:p w14:paraId="60A52B20" w14:textId="77777777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</w:rPr>
              <w:t>Key Project Stakeholders:</w:t>
            </w:r>
          </w:p>
        </w:tc>
        <w:tc>
          <w:tcPr>
            <w:tcW w:w="8862" w:type="dxa"/>
            <w:gridSpan w:val="2"/>
          </w:tcPr>
          <w:p w14:paraId="242E3DA4" w14:textId="77777777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</w:rPr>
              <w:t>N</w:t>
            </w:r>
            <w:r w:rsidR="00781133" w:rsidRPr="005A6C60">
              <w:rPr>
                <w:rFonts w:cstheme="minorHAnsi"/>
                <w:b/>
              </w:rPr>
              <w:t>a</w:t>
            </w:r>
            <w:r w:rsidRPr="005A6C60">
              <w:rPr>
                <w:rFonts w:cstheme="minorHAnsi"/>
                <w:b/>
              </w:rPr>
              <w:t>me</w:t>
            </w:r>
          </w:p>
          <w:p w14:paraId="3B745759" w14:textId="3331EC9B" w:rsidR="00781133" w:rsidRPr="005A6C60" w:rsidRDefault="00781133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</w:p>
        </w:tc>
        <w:tc>
          <w:tcPr>
            <w:tcW w:w="8864" w:type="dxa"/>
            <w:gridSpan w:val="2"/>
          </w:tcPr>
          <w:p w14:paraId="7947BA4F" w14:textId="77777777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</w:rPr>
              <w:t xml:space="preserve">Project Role </w:t>
            </w:r>
          </w:p>
          <w:p w14:paraId="4FC365C1" w14:textId="3058C408" w:rsidR="008131D2" w:rsidRPr="005A6C60" w:rsidRDefault="005F490C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 w:rsidRPr="005A6C60">
              <w:rPr>
                <w:rFonts w:cstheme="minorHAnsi"/>
                <w:bCs/>
              </w:rPr>
              <w:t>e.g.,</w:t>
            </w:r>
            <w:r w:rsidR="00F72C72" w:rsidRPr="005A6C60">
              <w:rPr>
                <w:rFonts w:cstheme="minorHAnsi"/>
                <w:bCs/>
              </w:rPr>
              <w:t xml:space="preserve"> </w:t>
            </w:r>
            <w:r w:rsidR="00596594" w:rsidRPr="005A6C60">
              <w:rPr>
                <w:rFonts w:cstheme="minorHAnsi"/>
                <w:bCs/>
              </w:rPr>
              <w:t>Customer</w:t>
            </w:r>
            <w:r w:rsidR="00F72C72" w:rsidRPr="005A6C60">
              <w:rPr>
                <w:rFonts w:cstheme="minorHAnsi"/>
                <w:bCs/>
              </w:rPr>
              <w:t xml:space="preserve"> Lead/Technical contact/evaluator/H&amp;S Lead</w:t>
            </w:r>
          </w:p>
        </w:tc>
      </w:tr>
      <w:tr w:rsidR="008131D2" w:rsidRPr="005A6C60" w14:paraId="50299428" w14:textId="77777777" w:rsidTr="00821E83">
        <w:trPr>
          <w:trHeight w:val="227"/>
        </w:trPr>
        <w:tc>
          <w:tcPr>
            <w:tcW w:w="7158" w:type="dxa"/>
            <w:vMerge/>
            <w:shd w:val="clear" w:color="auto" w:fill="auto"/>
          </w:tcPr>
          <w:p w14:paraId="6A82F5B5" w14:textId="77777777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</w:p>
        </w:tc>
        <w:tc>
          <w:tcPr>
            <w:tcW w:w="8862" w:type="dxa"/>
            <w:gridSpan w:val="2"/>
          </w:tcPr>
          <w:p w14:paraId="3D19017D" w14:textId="26915946" w:rsidR="008131D2" w:rsidRPr="005A6C60" w:rsidRDefault="00A848D7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Sara Davies</w:t>
            </w:r>
          </w:p>
        </w:tc>
        <w:tc>
          <w:tcPr>
            <w:tcW w:w="8864" w:type="dxa"/>
            <w:gridSpan w:val="2"/>
          </w:tcPr>
          <w:p w14:paraId="035ADEFF" w14:textId="5EBBFDE4" w:rsidR="008131D2" w:rsidRPr="005A6C60" w:rsidRDefault="009A1B71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Customer Lead</w:t>
            </w:r>
          </w:p>
        </w:tc>
      </w:tr>
      <w:tr w:rsidR="008131D2" w:rsidRPr="005A6C60" w14:paraId="7B4C0F4C" w14:textId="77777777" w:rsidTr="00821E83">
        <w:trPr>
          <w:trHeight w:val="227"/>
        </w:trPr>
        <w:tc>
          <w:tcPr>
            <w:tcW w:w="7158" w:type="dxa"/>
            <w:vMerge/>
            <w:shd w:val="clear" w:color="auto" w:fill="auto"/>
          </w:tcPr>
          <w:p w14:paraId="6625B339" w14:textId="77777777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</w:p>
        </w:tc>
        <w:tc>
          <w:tcPr>
            <w:tcW w:w="8862" w:type="dxa"/>
            <w:gridSpan w:val="2"/>
          </w:tcPr>
          <w:p w14:paraId="4F5972BD" w14:textId="2842EFCA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</w:p>
        </w:tc>
        <w:tc>
          <w:tcPr>
            <w:tcW w:w="8864" w:type="dxa"/>
            <w:gridSpan w:val="2"/>
          </w:tcPr>
          <w:p w14:paraId="35939F1E" w14:textId="0565AA4D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</w:p>
        </w:tc>
      </w:tr>
      <w:tr w:rsidR="008131D2" w:rsidRPr="005A6C60" w14:paraId="2A7457BF" w14:textId="77777777" w:rsidTr="00821E83">
        <w:trPr>
          <w:trHeight w:val="227"/>
        </w:trPr>
        <w:tc>
          <w:tcPr>
            <w:tcW w:w="7158" w:type="dxa"/>
            <w:vMerge/>
            <w:shd w:val="clear" w:color="auto" w:fill="auto"/>
          </w:tcPr>
          <w:p w14:paraId="2FF3C8CD" w14:textId="77777777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</w:p>
        </w:tc>
        <w:tc>
          <w:tcPr>
            <w:tcW w:w="8862" w:type="dxa"/>
            <w:gridSpan w:val="2"/>
          </w:tcPr>
          <w:p w14:paraId="366B336B" w14:textId="77777777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</w:p>
        </w:tc>
        <w:tc>
          <w:tcPr>
            <w:tcW w:w="8864" w:type="dxa"/>
            <w:gridSpan w:val="2"/>
          </w:tcPr>
          <w:p w14:paraId="49A06CA2" w14:textId="77777777" w:rsidR="008131D2" w:rsidRPr="005A6C60" w:rsidRDefault="008131D2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</w:p>
        </w:tc>
      </w:tr>
      <w:tr w:rsidR="008131D2" w:rsidRPr="005A6C60" w14:paraId="3D2EE537" w14:textId="77777777" w:rsidTr="00821E83">
        <w:trPr>
          <w:trHeight w:val="227"/>
        </w:trPr>
        <w:tc>
          <w:tcPr>
            <w:tcW w:w="7158" w:type="dxa"/>
            <w:shd w:val="clear" w:color="auto" w:fill="auto"/>
          </w:tcPr>
          <w:p w14:paraId="7E07E537" w14:textId="3B300F95" w:rsidR="008131D2" w:rsidRPr="005A6C60" w:rsidRDefault="00B67A08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</w:rPr>
              <w:t xml:space="preserve">Head of </w:t>
            </w:r>
            <w:r w:rsidR="00ED3DBB" w:rsidRPr="005A6C60">
              <w:rPr>
                <w:rFonts w:cstheme="minorHAnsi"/>
                <w:b/>
              </w:rPr>
              <w:t>School/Dept:</w:t>
            </w:r>
          </w:p>
        </w:tc>
        <w:tc>
          <w:tcPr>
            <w:tcW w:w="17726" w:type="dxa"/>
            <w:gridSpan w:val="4"/>
          </w:tcPr>
          <w:p w14:paraId="0FF17555" w14:textId="49625933" w:rsidR="008131D2" w:rsidRPr="005A6C60" w:rsidRDefault="009A1B71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Rachel Errington</w:t>
            </w:r>
          </w:p>
        </w:tc>
      </w:tr>
      <w:tr w:rsidR="00ED3DBB" w:rsidRPr="005A6C60" w14:paraId="3C7DA8F5" w14:textId="77777777" w:rsidTr="00821E83">
        <w:trPr>
          <w:trHeight w:val="227"/>
        </w:trPr>
        <w:tc>
          <w:tcPr>
            <w:tcW w:w="7158" w:type="dxa"/>
            <w:shd w:val="clear" w:color="auto" w:fill="auto"/>
          </w:tcPr>
          <w:p w14:paraId="4F9E5ED7" w14:textId="0EC74CAE" w:rsidR="00ED3DBB" w:rsidRPr="005A6C60" w:rsidRDefault="00ED3DBB" w:rsidP="004A60CA">
            <w:pPr>
              <w:spacing w:afterLines="20" w:after="48" w:line="240" w:lineRule="auto"/>
              <w:rPr>
                <w:rFonts w:cstheme="minorHAnsi"/>
                <w:b/>
                <w:color w:val="000000" w:themeColor="text1"/>
              </w:rPr>
            </w:pPr>
            <w:r w:rsidRPr="005A6C60">
              <w:rPr>
                <w:rFonts w:cstheme="minorHAnsi"/>
                <w:b/>
                <w:color w:val="000000" w:themeColor="text1"/>
              </w:rPr>
              <w:t>Financial Approver:</w:t>
            </w:r>
          </w:p>
        </w:tc>
        <w:tc>
          <w:tcPr>
            <w:tcW w:w="17726" w:type="dxa"/>
            <w:gridSpan w:val="4"/>
          </w:tcPr>
          <w:p w14:paraId="09A93C5E" w14:textId="6BE6E189" w:rsidR="00ED3DBB" w:rsidRPr="005A6C60" w:rsidRDefault="00A848D7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 w:rsidRPr="00A848D7">
              <w:rPr>
                <w:rFonts w:cstheme="minorHAnsi"/>
                <w:bCs/>
              </w:rPr>
              <w:t>James Walters</w:t>
            </w:r>
          </w:p>
        </w:tc>
      </w:tr>
      <w:tr w:rsidR="00E03329" w:rsidRPr="005A6C60" w14:paraId="505D4987" w14:textId="77777777" w:rsidTr="00821E83">
        <w:trPr>
          <w:trHeight w:val="227"/>
        </w:trPr>
        <w:tc>
          <w:tcPr>
            <w:tcW w:w="7158" w:type="dxa"/>
            <w:shd w:val="clear" w:color="auto" w:fill="auto"/>
          </w:tcPr>
          <w:p w14:paraId="4B1C56AE" w14:textId="77777777" w:rsidR="00E03329" w:rsidRPr="005A6C60" w:rsidRDefault="00E03329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5A6C60">
              <w:rPr>
                <w:rFonts w:cstheme="minorHAnsi"/>
                <w:b/>
                <w:color w:val="000000" w:themeColor="text1"/>
              </w:rPr>
              <w:t>Funding Source:</w:t>
            </w:r>
          </w:p>
        </w:tc>
        <w:tc>
          <w:tcPr>
            <w:tcW w:w="5908" w:type="dxa"/>
          </w:tcPr>
          <w:p w14:paraId="134F08A8" w14:textId="6EFFF97C" w:rsidR="00E03329" w:rsidRPr="005A6C60" w:rsidRDefault="00A848D7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 w:rsidRPr="00A848D7">
              <w:rPr>
                <w:rFonts w:cstheme="minorHAnsi"/>
                <w:bCs/>
              </w:rPr>
              <w:t>Genetics of psychosis, with a focus on antineuronal antibody positive psychosis/Oxford NHS Trus</w:t>
            </w:r>
            <w:r>
              <w:rPr>
                <w:rFonts w:cstheme="minorHAnsi"/>
                <w:bCs/>
              </w:rPr>
              <w:t>t</w:t>
            </w:r>
          </w:p>
        </w:tc>
        <w:tc>
          <w:tcPr>
            <w:tcW w:w="5908" w:type="dxa"/>
            <w:gridSpan w:val="2"/>
          </w:tcPr>
          <w:p w14:paraId="5A0BCE33" w14:textId="254B44E4" w:rsidR="00E03329" w:rsidRPr="00E03329" w:rsidRDefault="00E03329" w:rsidP="004A60CA">
            <w:pPr>
              <w:spacing w:afterLines="20" w:after="48" w:line="240" w:lineRule="auto"/>
              <w:rPr>
                <w:rFonts w:cstheme="minorHAnsi"/>
                <w:b/>
              </w:rPr>
            </w:pPr>
            <w:r w:rsidRPr="00E03329">
              <w:rPr>
                <w:rFonts w:cstheme="minorHAnsi"/>
                <w:b/>
              </w:rPr>
              <w:t>Budget Code:</w:t>
            </w:r>
          </w:p>
        </w:tc>
        <w:tc>
          <w:tcPr>
            <w:tcW w:w="5910" w:type="dxa"/>
          </w:tcPr>
          <w:p w14:paraId="19363A0A" w14:textId="4DA165B6" w:rsidR="00E03329" w:rsidRPr="005A6C60" w:rsidRDefault="00A848D7" w:rsidP="004A60CA">
            <w:pPr>
              <w:spacing w:afterLines="20" w:after="48" w:line="240" w:lineRule="auto"/>
              <w:rPr>
                <w:rFonts w:cstheme="minorHAnsi"/>
                <w:bCs/>
              </w:rPr>
            </w:pPr>
            <w:r w:rsidRPr="00A848D7">
              <w:rPr>
                <w:rFonts w:cstheme="minorHAnsi"/>
                <w:bCs/>
              </w:rPr>
              <w:t>527341</w:t>
            </w:r>
          </w:p>
        </w:tc>
      </w:tr>
    </w:tbl>
    <w:p w14:paraId="29826A3E" w14:textId="52272C6B" w:rsidR="008131D2" w:rsidRPr="005A6C60" w:rsidRDefault="008131D2" w:rsidP="004A60CA">
      <w:pPr>
        <w:spacing w:afterLines="20" w:after="48" w:line="240" w:lineRule="auto"/>
        <w:rPr>
          <w:rFonts w:cstheme="minorHAnsi"/>
          <w:b/>
          <w:bCs/>
          <w:color w:val="FFFFFF" w:themeColor="background1"/>
        </w:rPr>
      </w:pPr>
    </w:p>
    <w:tbl>
      <w:tblPr>
        <w:tblW w:w="49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8131D2" w:rsidRPr="005A6C60" w14:paraId="2C25E902" w14:textId="77777777" w:rsidTr="00A848D7">
        <w:trPr>
          <w:trHeight w:val="340"/>
        </w:trPr>
        <w:tc>
          <w:tcPr>
            <w:tcW w:w="17929" w:type="dxa"/>
            <w:shd w:val="clear" w:color="auto" w:fill="D3374A"/>
            <w:vAlign w:val="center"/>
          </w:tcPr>
          <w:p w14:paraId="0B328506" w14:textId="1D2C9DFE" w:rsidR="008131D2" w:rsidRPr="005A6C60" w:rsidRDefault="008471B8" w:rsidP="004A60CA">
            <w:pPr>
              <w:spacing w:afterLines="50" w:after="120" w:line="240" w:lineRule="auto"/>
              <w:rPr>
                <w:rFonts w:cstheme="minorHAnsi"/>
                <w:b/>
                <w:bCs/>
              </w:rPr>
            </w:pPr>
            <w:r w:rsidRPr="005A6C60">
              <w:rPr>
                <w:rFonts w:cstheme="minorHAnsi"/>
                <w:b/>
                <w:bCs/>
                <w:color w:val="FFFFFF" w:themeColor="background1"/>
              </w:rPr>
              <w:t>2</w:t>
            </w:r>
            <w:r w:rsidR="00EB2ADB" w:rsidRPr="005A6C60">
              <w:rPr>
                <w:rFonts w:cstheme="minorHAnsi"/>
                <w:b/>
                <w:bCs/>
                <w:color w:val="FFFFFF" w:themeColor="background1"/>
              </w:rPr>
              <w:t xml:space="preserve">. </w:t>
            </w:r>
            <w:r w:rsidR="008131D2" w:rsidRPr="005A6C60">
              <w:rPr>
                <w:rFonts w:cstheme="minorHAnsi"/>
                <w:b/>
                <w:bCs/>
                <w:color w:val="FFFFFF" w:themeColor="background1"/>
              </w:rPr>
              <w:t xml:space="preserve">Introduction </w:t>
            </w:r>
          </w:p>
        </w:tc>
      </w:tr>
    </w:tbl>
    <w:p w14:paraId="29954CD0" w14:textId="2DDCC19A" w:rsidR="00A848D7" w:rsidRDefault="00A848D7" w:rsidP="00A848D7">
      <w:pPr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10 Blood extraction kits required initially </w:t>
      </w:r>
      <w:proofErr w:type="gramStart"/>
      <w:r>
        <w:rPr>
          <w:rFonts w:eastAsiaTheme="majorEastAsia" w:cstheme="minorHAnsi"/>
        </w:rPr>
        <w:t>in order to</w:t>
      </w:r>
      <w:proofErr w:type="gramEnd"/>
      <w:r>
        <w:rPr>
          <w:rFonts w:eastAsiaTheme="majorEastAsia" w:cstheme="minorHAnsi"/>
        </w:rPr>
        <w:t xml:space="preserve"> process 4,000 samples, with a further requirement of 7 more kits needed after </w:t>
      </w:r>
      <w:r w:rsidR="006A2869">
        <w:rPr>
          <w:rFonts w:eastAsiaTheme="majorEastAsia" w:cstheme="minorHAnsi"/>
        </w:rPr>
        <w:t xml:space="preserve">further funding is confirmed (there’s no date for this as of yet). These kits are purchased from </w:t>
      </w:r>
      <w:proofErr w:type="spellStart"/>
      <w:r w:rsidR="006A2869">
        <w:rPr>
          <w:rFonts w:eastAsiaTheme="majorEastAsia" w:cstheme="minorHAnsi"/>
        </w:rPr>
        <w:t>Revvity</w:t>
      </w:r>
      <w:proofErr w:type="spellEnd"/>
      <w:r w:rsidR="006A2869">
        <w:rPr>
          <w:rFonts w:eastAsiaTheme="majorEastAsia" w:cstheme="minorHAnsi"/>
        </w:rPr>
        <w:t>, who are the sole supplier of the equipment which utilises the kits.</w:t>
      </w:r>
    </w:p>
    <w:p w14:paraId="77A04F83" w14:textId="4511591F" w:rsidR="006A2869" w:rsidRDefault="0060283E" w:rsidP="00A848D7">
      <w:pPr>
        <w:jc w:val="both"/>
        <w:rPr>
          <w:rFonts w:eastAsiaTheme="majorEastAsia" w:cstheme="minorHAnsi"/>
        </w:rPr>
      </w:pPr>
      <w:r>
        <w:t>According to their Life Sciences-specific terms and conditions ‘’</w:t>
      </w:r>
      <w:proofErr w:type="spellStart"/>
      <w:r w:rsidRPr="003C3338">
        <w:t>Revvity</w:t>
      </w:r>
      <w:proofErr w:type="spellEnd"/>
      <w:r w:rsidRPr="003C3338">
        <w:t xml:space="preserve"> informs Customer that </w:t>
      </w:r>
      <w:proofErr w:type="spellStart"/>
      <w:r w:rsidRPr="003C3338">
        <w:t>KinEASE</w:t>
      </w:r>
      <w:proofErr w:type="spellEnd"/>
      <w:r w:rsidRPr="003C3338">
        <w:t xml:space="preserve">™ STK Reagent Products are covered by one or more patents and pending patent applications licensed from Millipore Corporation and were made pursuant to a co-development agreement between Millipore and a </w:t>
      </w:r>
      <w:proofErr w:type="spellStart"/>
      <w:r w:rsidRPr="003C3338">
        <w:t>Revvity</w:t>
      </w:r>
      <w:proofErr w:type="spellEnd"/>
      <w:r w:rsidRPr="003C3338">
        <w:t xml:space="preserve"> entity.</w:t>
      </w:r>
      <w:r>
        <w:t>’’</w:t>
      </w:r>
    </w:p>
    <w:p w14:paraId="47B01E69" w14:textId="0AE7A2B0" w:rsidR="000C5FB2" w:rsidRDefault="000C5FB2" w:rsidP="00A848D7">
      <w:pPr>
        <w:jc w:val="both"/>
        <w:rPr>
          <w:rFonts w:eastAsiaTheme="majorEastAsia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64047" w:rsidRPr="005A6C60" w14:paraId="65ED747F" w14:textId="77777777" w:rsidTr="00A166A4">
        <w:tc>
          <w:tcPr>
            <w:tcW w:w="9912" w:type="dxa"/>
            <w:shd w:val="clear" w:color="auto" w:fill="D3374A"/>
          </w:tcPr>
          <w:p w14:paraId="0BB62671" w14:textId="66963F01" w:rsidR="00264047" w:rsidRPr="005A6C60" w:rsidRDefault="00264047" w:rsidP="00A166A4">
            <w:pPr>
              <w:spacing w:afterLines="5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5A6C6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E13FF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The Waste/ Purchase Hierarchy</w:t>
            </w:r>
          </w:p>
        </w:tc>
      </w:tr>
    </w:tbl>
    <w:p w14:paraId="6A39C453" w14:textId="19BE4D18" w:rsidR="0060283E" w:rsidRDefault="0060283E" w:rsidP="0060283E">
      <w:pPr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This is a direct award justified </w:t>
      </w:r>
      <w:proofErr w:type="gramStart"/>
      <w:r>
        <w:rPr>
          <w:rFonts w:eastAsiaTheme="majorEastAsia" w:cstheme="minorHAnsi"/>
        </w:rPr>
        <w:t>on the basis of</w:t>
      </w:r>
      <w:proofErr w:type="gramEnd"/>
      <w:r>
        <w:rPr>
          <w:rFonts w:eastAsiaTheme="majorEastAsia" w:cstheme="minorHAnsi"/>
        </w:rPr>
        <w:t xml:space="preserve"> compatibility with existing equipment, meaning that there’s no scope to avoid/refurbish/purchase sustainably, meaning there are no other alternative ways to purchase that would serve here as a sole-source item only sold new. The delicate nature of the research would also incentivise using new kit.</w:t>
      </w:r>
      <w:r w:rsidR="009A1B71">
        <w:rPr>
          <w:rFonts w:eastAsiaTheme="majorEastAsia" w:cstheme="minorHAnsi"/>
        </w:rPr>
        <w:t xml:space="preserve"> The product also needs to be congruent with existing kit.</w:t>
      </w:r>
    </w:p>
    <w:p w14:paraId="49A49E4D" w14:textId="77777777" w:rsidR="00264047" w:rsidRDefault="00264047" w:rsidP="009376FE">
      <w:pPr>
        <w:jc w:val="both"/>
        <w:rPr>
          <w:rFonts w:eastAsiaTheme="majorEastAsia" w:cstheme="minorHAnsi"/>
        </w:rPr>
      </w:pPr>
    </w:p>
    <w:p w14:paraId="3FA1D5B9" w14:textId="6A553928" w:rsidR="00264047" w:rsidRDefault="00264047" w:rsidP="009376FE">
      <w:pPr>
        <w:jc w:val="both"/>
        <w:rPr>
          <w:rFonts w:eastAsiaTheme="majorEastAsia" w:cstheme="minorHAnsi"/>
        </w:rPr>
      </w:pPr>
      <w:r w:rsidRPr="00264047">
        <w:rPr>
          <w:rFonts w:eastAsiaTheme="majorEastAsia" w:cstheme="minorHAnsi"/>
          <w:noProof/>
        </w:rPr>
        <w:drawing>
          <wp:inline distT="0" distB="0" distL="0" distR="0" wp14:anchorId="627EAC2A" wp14:editId="4C0FF5E8">
            <wp:extent cx="6300470" cy="2700020"/>
            <wp:effectExtent l="0" t="0" r="5080" b="5080"/>
            <wp:docPr id="5122" name="Picture 348" descr="A diagram of a sales funne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5FDC286-2546-4E50-8360-ECCB42F0C5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348" descr="A diagram of a sales funnel&#10;&#10;Description automatically generated">
                      <a:extLst>
                        <a:ext uri="{FF2B5EF4-FFF2-40B4-BE49-F238E27FC236}">
                          <a16:creationId xmlns:a16="http://schemas.microsoft.com/office/drawing/2014/main" id="{C5FDC286-2546-4E50-8360-ECCB42F0C53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70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C4014" w14:textId="77777777" w:rsidR="000C5FB2" w:rsidRPr="005A6C60" w:rsidRDefault="000C5FB2" w:rsidP="009376FE">
      <w:pPr>
        <w:jc w:val="both"/>
        <w:rPr>
          <w:rFonts w:eastAsiaTheme="majorEastAsia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21E9D" w:rsidRPr="005A6C60" w14:paraId="1C5682FC" w14:textId="77777777" w:rsidTr="00721E9D">
        <w:tc>
          <w:tcPr>
            <w:tcW w:w="9912" w:type="dxa"/>
            <w:shd w:val="clear" w:color="auto" w:fill="D3374A"/>
          </w:tcPr>
          <w:p w14:paraId="18980DCF" w14:textId="39568B88" w:rsidR="00721E9D" w:rsidRPr="005A6C60" w:rsidRDefault="00E13FFD" w:rsidP="004A60CA">
            <w:pPr>
              <w:spacing w:afterLines="5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68669249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="00EB2ADB" w:rsidRPr="005A6C6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721E9D" w:rsidRPr="005A6C6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Current Arrangements and Expenditure</w:t>
            </w:r>
          </w:p>
        </w:tc>
      </w:tr>
    </w:tbl>
    <w:bookmarkEnd w:id="0"/>
    <w:p w14:paraId="5C31E19B" w14:textId="0F7F6C0D" w:rsidR="0060283E" w:rsidRPr="005A6C60" w:rsidRDefault="0060283E" w:rsidP="0022724D">
      <w:pPr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While there are </w:t>
      </w:r>
      <w:r w:rsidR="009478EA">
        <w:rPr>
          <w:rFonts w:eastAsiaTheme="majorEastAsia" w:cstheme="minorHAnsi"/>
        </w:rPr>
        <w:t>existing</w:t>
      </w:r>
      <w:r>
        <w:rPr>
          <w:rFonts w:eastAsiaTheme="majorEastAsia" w:cstheme="minorHAnsi"/>
        </w:rPr>
        <w:t xml:space="preserve"> </w:t>
      </w:r>
      <w:r w:rsidR="009478EA">
        <w:rPr>
          <w:rFonts w:eastAsiaTheme="majorEastAsia" w:cstheme="minorHAnsi"/>
        </w:rPr>
        <w:t>Direct Awards</w:t>
      </w:r>
      <w:r>
        <w:rPr>
          <w:rFonts w:eastAsiaTheme="majorEastAsia" w:cstheme="minorHAnsi"/>
        </w:rPr>
        <w:t xml:space="preserve"> for </w:t>
      </w:r>
      <w:proofErr w:type="spellStart"/>
      <w:r>
        <w:rPr>
          <w:rFonts w:eastAsiaTheme="majorEastAsia" w:cstheme="minorHAnsi"/>
        </w:rPr>
        <w:t>Revvity</w:t>
      </w:r>
      <w:proofErr w:type="spellEnd"/>
      <w:r>
        <w:rPr>
          <w:rFonts w:eastAsiaTheme="majorEastAsia" w:cstheme="minorHAnsi"/>
        </w:rPr>
        <w:t xml:space="preserve">, there is currently nothing in place </w:t>
      </w:r>
      <w:r w:rsidR="009478EA">
        <w:rPr>
          <w:rFonts w:eastAsiaTheme="majorEastAsia" w:cstheme="minorHAnsi"/>
        </w:rPr>
        <w:t>for this requirement.</w:t>
      </w:r>
    </w:p>
    <w:p w14:paraId="4E250DEF" w14:textId="38189460" w:rsidR="000C5FB2" w:rsidRPr="005A6C60" w:rsidRDefault="002D4B3C" w:rsidP="003B6B16">
      <w:pPr>
        <w:jc w:val="both"/>
        <w:rPr>
          <w:rFonts w:eastAsiaTheme="majorEastAsia" w:cstheme="minorHAnsi"/>
        </w:rPr>
      </w:pPr>
      <w:r w:rsidRPr="005A6C60">
        <w:rPr>
          <w:rFonts w:eastAsiaTheme="majorEastAsia" w:cstheme="minorHAnsi"/>
          <w:b/>
          <w:bCs/>
        </w:rPr>
        <w:t>Lessons Learned</w:t>
      </w:r>
      <w:r w:rsidRPr="005A6C60">
        <w:rPr>
          <w:rFonts w:eastAsiaTheme="majorEastAsia" w:cstheme="minorHAnsi"/>
        </w:rPr>
        <w:t xml:space="preserve">: </w:t>
      </w:r>
      <w:r w:rsidR="0060283E">
        <w:rPr>
          <w:rFonts w:eastAsiaTheme="majorEastAsia" w:cstheme="minorHAnsi"/>
        </w:rPr>
        <w:t>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3680"/>
      </w:tblGrid>
      <w:tr w:rsidR="00E50480" w:rsidRPr="005A6C60" w14:paraId="02D0AEA1" w14:textId="77777777" w:rsidTr="002265F5">
        <w:tc>
          <w:tcPr>
            <w:tcW w:w="9912" w:type="dxa"/>
            <w:gridSpan w:val="3"/>
            <w:shd w:val="clear" w:color="auto" w:fill="D3374A"/>
          </w:tcPr>
          <w:p w14:paraId="4D38458A" w14:textId="63C188B9" w:rsidR="00E50480" w:rsidRPr="005A6C60" w:rsidRDefault="00E13FFD" w:rsidP="002265F5">
            <w:pPr>
              <w:spacing w:afterLines="5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E50480" w:rsidRPr="005A6C6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. Stakeholder Engagement</w:t>
            </w:r>
          </w:p>
        </w:tc>
      </w:tr>
      <w:tr w:rsidR="00092140" w:rsidRPr="005A6C60" w14:paraId="34458AA9" w14:textId="77777777" w:rsidTr="00DB3520">
        <w:tc>
          <w:tcPr>
            <w:tcW w:w="4957" w:type="dxa"/>
            <w:shd w:val="clear" w:color="auto" w:fill="D9D9D9" w:themeFill="background1" w:themeFillShade="D9"/>
          </w:tcPr>
          <w:p w14:paraId="4F2B850E" w14:textId="1C5FB453" w:rsidR="00092140" w:rsidRPr="005A6C60" w:rsidRDefault="001E6CA5" w:rsidP="00DB35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092140"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takeholder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9C457F" w14:textId="77777777" w:rsidR="00092140" w:rsidRPr="005A6C60" w:rsidRDefault="00092140" w:rsidP="00DB3520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Consulted (</w:t>
            </w: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 n/a)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2D230A0E" w14:textId="77777777" w:rsidR="00092140" w:rsidRPr="005A6C60" w:rsidRDefault="00092140" w:rsidP="00DB3520">
            <w:pPr>
              <w:spacing w:afterLines="20" w:after="4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Resulting Actions</w:t>
            </w:r>
          </w:p>
        </w:tc>
      </w:tr>
      <w:tr w:rsidR="00092140" w:rsidRPr="005A6C60" w14:paraId="0C1AFDB6" w14:textId="77777777" w:rsidTr="00DB3520">
        <w:tc>
          <w:tcPr>
            <w:tcW w:w="4957" w:type="dxa"/>
          </w:tcPr>
          <w:p w14:paraId="6AE54B7C" w14:textId="77777777" w:rsidR="00092140" w:rsidRPr="005A6C60" w:rsidRDefault="00092140" w:rsidP="00DB3520">
            <w:pPr>
              <w:spacing w:afterLines="20" w:after="4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A6C60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Estates</w:t>
            </w:r>
          </w:p>
        </w:tc>
        <w:tc>
          <w:tcPr>
            <w:tcW w:w="1275" w:type="dxa"/>
          </w:tcPr>
          <w:p w14:paraId="798DC8EF" w14:textId="07D40DF4" w:rsidR="00092140" w:rsidRPr="005A6C60" w:rsidRDefault="009478EA" w:rsidP="00DB3520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3680" w:type="dxa"/>
          </w:tcPr>
          <w:p w14:paraId="4F626073" w14:textId="589B1E95" w:rsidR="00092140" w:rsidRPr="005A6C60" w:rsidRDefault="009478EA" w:rsidP="00DB3520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092140" w:rsidRPr="005A6C60" w14:paraId="79C4598B" w14:textId="77777777" w:rsidTr="00DB3520">
        <w:tc>
          <w:tcPr>
            <w:tcW w:w="4957" w:type="dxa"/>
          </w:tcPr>
          <w:p w14:paraId="0283F21B" w14:textId="77777777" w:rsidR="00092140" w:rsidRPr="005A6C60" w:rsidRDefault="00092140" w:rsidP="00DB3520">
            <w:pPr>
              <w:spacing w:afterLines="20" w:after="4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A6C60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IT</w:t>
            </w:r>
          </w:p>
        </w:tc>
        <w:tc>
          <w:tcPr>
            <w:tcW w:w="1275" w:type="dxa"/>
          </w:tcPr>
          <w:p w14:paraId="1AEBB81F" w14:textId="445F2BDD" w:rsidR="00092140" w:rsidRPr="005A6C60" w:rsidRDefault="009478EA" w:rsidP="00DB3520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3680" w:type="dxa"/>
          </w:tcPr>
          <w:p w14:paraId="60034D96" w14:textId="6D320E5C" w:rsidR="00092140" w:rsidRPr="005A6C60" w:rsidRDefault="009478EA" w:rsidP="00DB3520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092140" w:rsidRPr="005A6C60" w14:paraId="78870F12" w14:textId="77777777" w:rsidTr="00DB3520">
        <w:tc>
          <w:tcPr>
            <w:tcW w:w="4957" w:type="dxa"/>
          </w:tcPr>
          <w:p w14:paraId="7CAC1278" w14:textId="77777777" w:rsidR="00092140" w:rsidRPr="005A6C60" w:rsidRDefault="00092140" w:rsidP="00DB3520">
            <w:pPr>
              <w:spacing w:afterLines="20" w:after="48"/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5A6C60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Records Management</w:t>
            </w:r>
          </w:p>
        </w:tc>
        <w:tc>
          <w:tcPr>
            <w:tcW w:w="1275" w:type="dxa"/>
          </w:tcPr>
          <w:p w14:paraId="704D71DD" w14:textId="1FAE59CF" w:rsidR="00092140" w:rsidRPr="005A6C60" w:rsidRDefault="009478EA" w:rsidP="00DB3520">
            <w:pPr>
              <w:spacing w:afterLines="20" w:after="48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3680" w:type="dxa"/>
          </w:tcPr>
          <w:p w14:paraId="66161741" w14:textId="048F69A8" w:rsidR="00092140" w:rsidRPr="005A6C60" w:rsidRDefault="009478EA" w:rsidP="00DB3520">
            <w:pPr>
              <w:spacing w:afterLines="20" w:after="48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092140" w:rsidRPr="005A6C60" w14:paraId="420DDA8C" w14:textId="77777777" w:rsidTr="00DB3520">
        <w:tc>
          <w:tcPr>
            <w:tcW w:w="4957" w:type="dxa"/>
          </w:tcPr>
          <w:p w14:paraId="705A2C68" w14:textId="77777777" w:rsidR="00092140" w:rsidRPr="005A6C60" w:rsidRDefault="00092140" w:rsidP="00DB3520">
            <w:pPr>
              <w:spacing w:afterLines="20" w:after="48"/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5A6C60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HR (if TUPE in/out of the University applies)</w:t>
            </w:r>
          </w:p>
        </w:tc>
        <w:tc>
          <w:tcPr>
            <w:tcW w:w="1275" w:type="dxa"/>
          </w:tcPr>
          <w:p w14:paraId="4E66902F" w14:textId="457F54B1" w:rsidR="00092140" w:rsidRPr="005A6C60" w:rsidRDefault="009478EA" w:rsidP="00DB3520">
            <w:pPr>
              <w:spacing w:afterLines="20" w:after="48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3680" w:type="dxa"/>
          </w:tcPr>
          <w:p w14:paraId="4FB64566" w14:textId="230243D9" w:rsidR="00092140" w:rsidRDefault="009478EA" w:rsidP="00DB3520">
            <w:pPr>
              <w:spacing w:afterLines="20" w:after="48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  <w:p w14:paraId="1E912A3B" w14:textId="77777777" w:rsidR="00092140" w:rsidRPr="00B9757F" w:rsidRDefault="00092140" w:rsidP="00DB352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092140" w:rsidRPr="005A6C60" w14:paraId="3B037514" w14:textId="77777777" w:rsidTr="00DB3520">
        <w:tc>
          <w:tcPr>
            <w:tcW w:w="4957" w:type="dxa"/>
          </w:tcPr>
          <w:p w14:paraId="288600C8" w14:textId="77777777" w:rsidR="00092140" w:rsidRPr="005A6C60" w:rsidRDefault="00092140" w:rsidP="00DB3520">
            <w:pPr>
              <w:spacing w:afterLines="20" w:after="4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Compliance and Risk - </w:t>
            </w:r>
            <w:r w:rsidRPr="005A6C60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Data Protection Officer (if complex data protection issues)</w:t>
            </w:r>
          </w:p>
        </w:tc>
        <w:tc>
          <w:tcPr>
            <w:tcW w:w="1275" w:type="dxa"/>
          </w:tcPr>
          <w:p w14:paraId="37D8BCEB" w14:textId="4478FA72" w:rsidR="00092140" w:rsidRPr="005A6C60" w:rsidRDefault="009478EA" w:rsidP="00DB3520">
            <w:pPr>
              <w:spacing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3680" w:type="dxa"/>
          </w:tcPr>
          <w:p w14:paraId="10D4490F" w14:textId="0E7447AA" w:rsidR="00092140" w:rsidRPr="005A6C60" w:rsidRDefault="009478EA" w:rsidP="00DB3520">
            <w:pPr>
              <w:spacing w:afterLines="20" w:after="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092140" w:rsidRPr="005A6C60" w14:paraId="63A99A50" w14:textId="77777777" w:rsidTr="00DB3520">
        <w:tc>
          <w:tcPr>
            <w:tcW w:w="4957" w:type="dxa"/>
          </w:tcPr>
          <w:p w14:paraId="0EAF55B0" w14:textId="77777777" w:rsidR="00092140" w:rsidRPr="00F766FD" w:rsidRDefault="00092140" w:rsidP="00DB3520">
            <w:pPr>
              <w:spacing w:afterLines="20" w:after="4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766F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Compliance and Risk – Welsh Language Standards</w:t>
            </w:r>
          </w:p>
        </w:tc>
        <w:tc>
          <w:tcPr>
            <w:tcW w:w="1275" w:type="dxa"/>
          </w:tcPr>
          <w:p w14:paraId="7776F71C" w14:textId="134A2BEE" w:rsidR="00092140" w:rsidRPr="005A6C60" w:rsidRDefault="009478EA" w:rsidP="00DB3520">
            <w:pPr>
              <w:spacing w:afterLines="20" w:after="48"/>
              <w:rPr>
                <w:rFonts w:cstheme="minorHAnsi"/>
                <w:color w:val="000000" w:themeColor="text1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3680" w:type="dxa"/>
          </w:tcPr>
          <w:p w14:paraId="29F2D387" w14:textId="05B61A3C" w:rsidR="00092140" w:rsidRPr="005A6C60" w:rsidRDefault="00092140" w:rsidP="00DB3520">
            <w:pPr>
              <w:spacing w:afterLines="20" w:after="48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  <w:r w:rsidR="009478EA"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</w:tbl>
    <w:p w14:paraId="2FA57995" w14:textId="77777777" w:rsidR="00D4222A" w:rsidRPr="005A6C60" w:rsidRDefault="00D4222A" w:rsidP="004A60CA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374EE" w:rsidRPr="005A6C60" w14:paraId="22E2E3C7" w14:textId="77777777" w:rsidTr="00965F9C">
        <w:tc>
          <w:tcPr>
            <w:tcW w:w="9912" w:type="dxa"/>
            <w:shd w:val="clear" w:color="auto" w:fill="D3374A"/>
          </w:tcPr>
          <w:p w14:paraId="0F1B3C3F" w14:textId="2CDC6BE2" w:rsidR="003374EE" w:rsidRPr="005A6C60" w:rsidRDefault="00E13FFD" w:rsidP="004A60CA">
            <w:pPr>
              <w:spacing w:afterLines="5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6</w:t>
            </w:r>
            <w:r w:rsidR="00EB2ADB" w:rsidRPr="005A6C6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7417A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Market Conditions and Reason for </w:t>
            </w:r>
            <w:r w:rsidR="00490A5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Single tender</w:t>
            </w:r>
          </w:p>
        </w:tc>
      </w:tr>
    </w:tbl>
    <w:p w14:paraId="3F384652" w14:textId="77777777" w:rsidR="004F11AF" w:rsidRDefault="004F11AF" w:rsidP="004A60CA">
      <w:pPr>
        <w:spacing w:after="0" w:line="240" w:lineRule="auto"/>
        <w:rPr>
          <w:rFonts w:cstheme="minorHAnsi"/>
          <w:b/>
          <w:bCs/>
        </w:rPr>
      </w:pPr>
    </w:p>
    <w:p w14:paraId="1870FABA" w14:textId="12C5897D" w:rsidR="00965F9C" w:rsidRPr="005A6C60" w:rsidRDefault="00965F9C" w:rsidP="004A60CA">
      <w:pPr>
        <w:spacing w:after="0" w:line="240" w:lineRule="auto"/>
        <w:rPr>
          <w:rFonts w:cstheme="minorHAnsi"/>
          <w:b/>
          <w:bCs/>
        </w:rPr>
      </w:pPr>
      <w:r w:rsidRPr="005A6C60">
        <w:rPr>
          <w:rFonts w:cstheme="minorHAnsi"/>
          <w:b/>
          <w:bCs/>
        </w:rPr>
        <w:t>Market conditions</w:t>
      </w:r>
    </w:p>
    <w:p w14:paraId="7C9CD79A" w14:textId="77777777" w:rsidR="009478EA" w:rsidRDefault="009478EA" w:rsidP="00BB2E8A">
      <w:pPr>
        <w:spacing w:after="0" w:line="240" w:lineRule="auto"/>
        <w:rPr>
          <w:rFonts w:cstheme="minorHAnsi"/>
        </w:rPr>
      </w:pPr>
    </w:p>
    <w:p w14:paraId="02D3F60D" w14:textId="5EDF1441" w:rsidR="009478EA" w:rsidRDefault="009478EA" w:rsidP="009478EA">
      <w:pPr>
        <w:jc w:val="both"/>
        <w:rPr>
          <w:rFonts w:eastAsiaTheme="majorEastAsia" w:cstheme="minorHAnsi"/>
        </w:rPr>
      </w:pPr>
      <w:r>
        <w:t>There are currently no alternatives. According to their Life Sciences-specific terms and conditions ‘’</w:t>
      </w:r>
      <w:proofErr w:type="spellStart"/>
      <w:r w:rsidRPr="003C3338">
        <w:t>Revvity</w:t>
      </w:r>
      <w:proofErr w:type="spellEnd"/>
      <w:r w:rsidRPr="003C3338">
        <w:t xml:space="preserve"> informs Customer that </w:t>
      </w:r>
      <w:proofErr w:type="spellStart"/>
      <w:r w:rsidRPr="003C3338">
        <w:t>KinEASE</w:t>
      </w:r>
      <w:proofErr w:type="spellEnd"/>
      <w:r w:rsidRPr="003C3338">
        <w:t xml:space="preserve">™ STK Reagent Products are covered by one or more patents and pending patent applications licensed from Millipore Corporation and were made pursuant to a co-development agreement between Millipore and a </w:t>
      </w:r>
      <w:proofErr w:type="spellStart"/>
      <w:r w:rsidRPr="003C3338">
        <w:t>Revvity</w:t>
      </w:r>
      <w:proofErr w:type="spellEnd"/>
      <w:r w:rsidRPr="003C3338">
        <w:t xml:space="preserve"> entity.</w:t>
      </w:r>
      <w:r>
        <w:t>’’</w:t>
      </w:r>
    </w:p>
    <w:p w14:paraId="7BAEFAAF" w14:textId="77777777" w:rsidR="009478EA" w:rsidRPr="005A6C60" w:rsidRDefault="009478EA" w:rsidP="00BB2E8A">
      <w:pPr>
        <w:spacing w:after="0" w:line="240" w:lineRule="auto"/>
        <w:rPr>
          <w:rFonts w:cstheme="minorHAnsi"/>
        </w:rPr>
      </w:pPr>
    </w:p>
    <w:p w14:paraId="19932AC7" w14:textId="0EF5316B" w:rsidR="00965F9C" w:rsidRPr="005A6C60" w:rsidRDefault="00965F9C" w:rsidP="004A60CA">
      <w:pPr>
        <w:spacing w:after="0" w:line="240" w:lineRule="auto"/>
        <w:rPr>
          <w:rFonts w:cstheme="minorHAnsi"/>
          <w:b/>
          <w:bCs/>
        </w:rPr>
      </w:pPr>
      <w:r w:rsidRPr="005A6C60">
        <w:rPr>
          <w:rFonts w:cstheme="minorHAnsi"/>
          <w:b/>
          <w:bCs/>
        </w:rPr>
        <w:t>Pre-market engagement undertaken</w:t>
      </w:r>
    </w:p>
    <w:p w14:paraId="14B6EB5E" w14:textId="4A0858C6" w:rsidR="00FF096A" w:rsidRDefault="00FF096A" w:rsidP="004A60CA">
      <w:pPr>
        <w:spacing w:after="0" w:line="240" w:lineRule="auto"/>
        <w:rPr>
          <w:rFonts w:cstheme="minorHAnsi"/>
        </w:rPr>
      </w:pPr>
    </w:p>
    <w:p w14:paraId="3BA33772" w14:textId="3A10749F" w:rsidR="009478EA" w:rsidRPr="005A6C60" w:rsidRDefault="009478EA" w:rsidP="004A60CA">
      <w:pPr>
        <w:spacing w:after="0" w:line="240" w:lineRule="auto"/>
        <w:rPr>
          <w:rFonts w:cstheme="minorHAnsi"/>
        </w:rPr>
      </w:pPr>
      <w:r>
        <w:rPr>
          <w:rFonts w:cstheme="minorHAnsi"/>
        </w:rPr>
        <w:t>N/A</w:t>
      </w:r>
    </w:p>
    <w:p w14:paraId="0A60510F" w14:textId="2C125CC8" w:rsidR="00E1131B" w:rsidRPr="005A6C60" w:rsidRDefault="00E1131B" w:rsidP="004A60CA">
      <w:pPr>
        <w:spacing w:after="0" w:line="240" w:lineRule="auto"/>
        <w:rPr>
          <w:rFonts w:cstheme="minorHAnsi"/>
        </w:rPr>
      </w:pPr>
    </w:p>
    <w:p w14:paraId="1AD86836" w14:textId="27F9D6EC" w:rsidR="001F623D" w:rsidRDefault="001F623D" w:rsidP="001F623D">
      <w:pPr>
        <w:spacing w:after="0" w:line="240" w:lineRule="auto"/>
        <w:rPr>
          <w:rFonts w:cstheme="minorHAnsi"/>
          <w:b/>
          <w:bCs/>
        </w:rPr>
      </w:pPr>
      <w:r w:rsidRPr="005A6C60">
        <w:rPr>
          <w:rFonts w:cstheme="minorHAnsi"/>
          <w:b/>
          <w:bCs/>
        </w:rPr>
        <w:t xml:space="preserve">Proposed </w:t>
      </w:r>
      <w:r w:rsidR="00490A5D">
        <w:rPr>
          <w:rFonts w:cstheme="minorHAnsi"/>
          <w:b/>
          <w:bCs/>
        </w:rPr>
        <w:t>Single tender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6E64E4" w:rsidRPr="00301737" w14:paraId="2119A3B6" w14:textId="77777777" w:rsidTr="000D01C9">
        <w:tc>
          <w:tcPr>
            <w:tcW w:w="4956" w:type="dxa"/>
          </w:tcPr>
          <w:p w14:paraId="175AD93A" w14:textId="65D10E99" w:rsidR="00526AD0" w:rsidRDefault="006E64E4" w:rsidP="000D01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Whilst not advertising are quotes still going to be sought from </w:t>
            </w:r>
            <w:r w:rsidR="008813B3">
              <w:rPr>
                <w:rFonts w:asciiTheme="minorHAnsi" w:hAnsiTheme="minorHAnsi" w:cstheme="minorHAnsi"/>
                <w:sz w:val="22"/>
                <w:szCs w:val="22"/>
              </w:rPr>
              <w:t>other suppliers?</w:t>
            </w:r>
          </w:p>
          <w:p w14:paraId="129CA435" w14:textId="16410811" w:rsidR="006E64E4" w:rsidRPr="00301737" w:rsidRDefault="006E64E4" w:rsidP="000D01C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1E543FA0" w14:textId="6A87A1B4" w:rsidR="006E64E4" w:rsidRPr="00301737" w:rsidRDefault="006E64E4" w:rsidP="000D01C9">
            <w:pPr>
              <w:tabs>
                <w:tab w:val="left" w:pos="12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737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cstheme="minorHAnsi"/>
                  <w:w w:val="0"/>
                </w:rPr>
                <w:id w:val="145821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737">
                  <w:rPr>
                    <w:rFonts w:ascii="Segoe UI Symbol" w:eastAsia="MS Gothic" w:hAnsi="Segoe UI Symbol" w:cs="Segoe UI Symbol"/>
                    <w:w w:val="0"/>
                    <w:sz w:val="22"/>
                    <w:szCs w:val="22"/>
                  </w:rPr>
                  <w:t>☐</w:t>
                </w:r>
              </w:sdtContent>
            </w:sdt>
            <w:r w:rsidRPr="00301737">
              <w:rPr>
                <w:rFonts w:asciiTheme="minorHAnsi" w:hAnsiTheme="minorHAnsi" w:cstheme="minorHAnsi"/>
                <w:w w:val="0"/>
                <w:sz w:val="22"/>
                <w:szCs w:val="22"/>
              </w:rPr>
              <w:tab/>
              <w:t xml:space="preserve">No </w:t>
            </w:r>
            <w:sdt>
              <w:sdtPr>
                <w:rPr>
                  <w:rFonts w:cstheme="minorHAnsi"/>
                  <w:w w:val="0"/>
                </w:rPr>
                <w:id w:val="-984393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8EA">
                  <w:rPr>
                    <w:rFonts w:ascii="MS Gothic" w:eastAsia="MS Gothic" w:hAnsi="MS Gothic" w:cstheme="minorHAnsi" w:hint="eastAsia"/>
                    <w:w w:val="0"/>
                  </w:rPr>
                  <w:t>☒</w:t>
                </w:r>
              </w:sdtContent>
            </w:sdt>
          </w:p>
        </w:tc>
      </w:tr>
    </w:tbl>
    <w:p w14:paraId="3C66FA21" w14:textId="32361145" w:rsidR="00B62ABD" w:rsidRDefault="00B62ABD" w:rsidP="001F623D">
      <w:pPr>
        <w:spacing w:after="0" w:line="240" w:lineRule="auto"/>
        <w:rPr>
          <w:rFonts w:cstheme="minorHAnsi"/>
        </w:rPr>
      </w:pPr>
    </w:p>
    <w:p w14:paraId="5F413FA2" w14:textId="65BF5BA9" w:rsidR="00DC291D" w:rsidRDefault="00DC291D" w:rsidP="001F623D">
      <w:pPr>
        <w:spacing w:after="0" w:line="240" w:lineRule="auto"/>
        <w:rPr>
          <w:rFonts w:cstheme="minorHAnsi"/>
          <w:b/>
          <w:bCs/>
        </w:rPr>
      </w:pPr>
      <w:r w:rsidRPr="00DC291D">
        <w:rPr>
          <w:rFonts w:cstheme="minorHAnsi"/>
          <w:b/>
          <w:bCs/>
        </w:rPr>
        <w:t>Preferred bidder</w:t>
      </w:r>
    </w:p>
    <w:p w14:paraId="523E634C" w14:textId="77777777" w:rsidR="009478EA" w:rsidRPr="009478EA" w:rsidRDefault="009478EA" w:rsidP="009478EA">
      <w:pPr>
        <w:spacing w:after="0" w:line="240" w:lineRule="auto"/>
        <w:rPr>
          <w:rFonts w:cstheme="minorHAnsi"/>
        </w:rPr>
      </w:pPr>
      <w:r w:rsidRPr="009478EA">
        <w:rPr>
          <w:rFonts w:cstheme="minorHAnsi"/>
        </w:rPr>
        <w:t>REVVITY (UK) LIMITED</w:t>
      </w:r>
    </w:p>
    <w:p w14:paraId="24D239CE" w14:textId="77777777" w:rsidR="004F11AF" w:rsidRDefault="004F11AF" w:rsidP="001F623D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1770"/>
        <w:gridCol w:w="3969"/>
        <w:gridCol w:w="1695"/>
      </w:tblGrid>
      <w:tr w:rsidR="004F11AF" w:rsidRPr="005A6C60" w14:paraId="2B1A1699" w14:textId="77777777" w:rsidTr="00DE59B1">
        <w:tc>
          <w:tcPr>
            <w:tcW w:w="2478" w:type="dxa"/>
            <w:shd w:val="clear" w:color="auto" w:fill="D9D9D9" w:themeFill="background1" w:themeFillShade="D9"/>
          </w:tcPr>
          <w:p w14:paraId="5C0AAFBF" w14:textId="77777777" w:rsidR="004F11AF" w:rsidRPr="005A6C60" w:rsidRDefault="004F11AF" w:rsidP="00DE59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Value of Procurement 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21052900" w14:textId="77777777" w:rsidR="004F11AF" w:rsidRPr="005A6C60" w:rsidRDefault="004F11AF" w:rsidP="00DE59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Transparency process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E02AD14" w14:textId="77777777" w:rsidR="004F11AF" w:rsidRPr="005A6C60" w:rsidRDefault="004F11AF" w:rsidP="00DE59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Procurement Process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7B6CE6E" w14:textId="77777777" w:rsidR="004F11AF" w:rsidRPr="005A6C60" w:rsidRDefault="004F11AF" w:rsidP="00DE59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 to be used (</w:t>
            </w: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4F11AF" w:rsidRPr="005A6C60" w14:paraId="460B1744" w14:textId="77777777" w:rsidTr="00DE59B1">
        <w:tc>
          <w:tcPr>
            <w:tcW w:w="2478" w:type="dxa"/>
          </w:tcPr>
          <w:p w14:paraId="22E1ADBF" w14:textId="77777777" w:rsidR="004F11AF" w:rsidRPr="004B7B40" w:rsidRDefault="004F11AF" w:rsidP="00DE59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7B40">
              <w:rPr>
                <w:rFonts w:asciiTheme="minorHAnsi" w:hAnsiTheme="minorHAnsi" w:cstheme="minorHAnsi"/>
                <w:sz w:val="22"/>
                <w:szCs w:val="22"/>
              </w:rPr>
              <w:t>Below Threshold</w:t>
            </w:r>
          </w:p>
        </w:tc>
        <w:tc>
          <w:tcPr>
            <w:tcW w:w="1770" w:type="dxa"/>
          </w:tcPr>
          <w:p w14:paraId="46D33AC6" w14:textId="77777777" w:rsidR="004F11AF" w:rsidRPr="004B7B40" w:rsidRDefault="004F11AF" w:rsidP="00DE59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7B40">
              <w:rPr>
                <w:rFonts w:asciiTheme="minorHAnsi" w:hAnsiTheme="minorHAnsi" w:cstheme="minorHAnsi"/>
                <w:sz w:val="22"/>
                <w:szCs w:val="22"/>
              </w:rPr>
              <w:t>Sell2Wales</w:t>
            </w:r>
          </w:p>
        </w:tc>
        <w:tc>
          <w:tcPr>
            <w:tcW w:w="3969" w:type="dxa"/>
          </w:tcPr>
          <w:p w14:paraId="30829539" w14:textId="77777777" w:rsidR="004F11AF" w:rsidRPr="004B7B40" w:rsidRDefault="004F11AF" w:rsidP="00DE59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7B40">
              <w:rPr>
                <w:rFonts w:asciiTheme="minorHAnsi" w:hAnsiTheme="minorHAnsi" w:cstheme="minorHAnsi"/>
                <w:sz w:val="22"/>
                <w:szCs w:val="22"/>
              </w:rPr>
              <w:t xml:space="preserve">Direct Award </w:t>
            </w:r>
          </w:p>
        </w:tc>
        <w:tc>
          <w:tcPr>
            <w:tcW w:w="1695" w:type="dxa"/>
          </w:tcPr>
          <w:p w14:paraId="1CA376A3" w14:textId="6082EFA1" w:rsidR="004F11AF" w:rsidRPr="005A6C60" w:rsidRDefault="009478EA" w:rsidP="00DE59B1">
            <w:pPr>
              <w:rPr>
                <w:rFonts w:cstheme="minorHAnsi"/>
                <w:b/>
                <w:bCs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</w:p>
        </w:tc>
      </w:tr>
      <w:tr w:rsidR="004F11AF" w:rsidRPr="005A6C60" w14:paraId="18E7742F" w14:textId="77777777" w:rsidTr="00DE59B1">
        <w:tc>
          <w:tcPr>
            <w:tcW w:w="2478" w:type="dxa"/>
          </w:tcPr>
          <w:p w14:paraId="3288738E" w14:textId="77777777" w:rsidR="004F11AF" w:rsidRPr="004B7B40" w:rsidRDefault="004F11AF" w:rsidP="00DE59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7B40">
              <w:rPr>
                <w:rFonts w:asciiTheme="minorHAnsi" w:hAnsiTheme="minorHAnsi" w:cstheme="minorHAnsi"/>
                <w:sz w:val="22"/>
                <w:szCs w:val="22"/>
              </w:rPr>
              <w:t>Over threshold</w:t>
            </w:r>
          </w:p>
        </w:tc>
        <w:tc>
          <w:tcPr>
            <w:tcW w:w="1770" w:type="dxa"/>
          </w:tcPr>
          <w:p w14:paraId="37C5DEFC" w14:textId="77777777" w:rsidR="004F11AF" w:rsidRPr="004B7B40" w:rsidRDefault="004F11AF" w:rsidP="00DE59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7B40">
              <w:rPr>
                <w:rFonts w:asciiTheme="minorHAnsi" w:hAnsiTheme="minorHAnsi" w:cstheme="minorHAnsi"/>
                <w:sz w:val="22"/>
                <w:szCs w:val="22"/>
              </w:rPr>
              <w:t xml:space="preserve">Sell2Wales </w:t>
            </w:r>
          </w:p>
        </w:tc>
        <w:tc>
          <w:tcPr>
            <w:tcW w:w="3969" w:type="dxa"/>
          </w:tcPr>
          <w:p w14:paraId="3D083F91" w14:textId="1C9E00D0" w:rsidR="004F11AF" w:rsidRPr="004B7B40" w:rsidRDefault="004F11AF" w:rsidP="00DE59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7B40">
              <w:rPr>
                <w:rFonts w:asciiTheme="minorHAnsi" w:hAnsiTheme="minorHAnsi" w:cstheme="minorHAnsi"/>
                <w:sz w:val="22"/>
                <w:szCs w:val="22"/>
              </w:rPr>
              <w:t>Negotiated Procedure without Prior Publication</w:t>
            </w:r>
            <w:r w:rsidR="00CF3FD9">
              <w:rPr>
                <w:rFonts w:asciiTheme="minorHAnsi" w:hAnsiTheme="minorHAnsi" w:cstheme="minorHAnsi"/>
                <w:sz w:val="22"/>
                <w:szCs w:val="22"/>
              </w:rPr>
              <w:t xml:space="preserve"> (Regulation 32)</w:t>
            </w:r>
          </w:p>
        </w:tc>
        <w:tc>
          <w:tcPr>
            <w:tcW w:w="1695" w:type="dxa"/>
          </w:tcPr>
          <w:p w14:paraId="007B653D" w14:textId="77777777" w:rsidR="004F11AF" w:rsidRPr="005A6C60" w:rsidRDefault="004F11AF" w:rsidP="00DE59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3FD9" w:rsidRPr="005A6C60" w14:paraId="4BD6A0B1" w14:textId="77777777" w:rsidTr="00DE59B1">
        <w:tc>
          <w:tcPr>
            <w:tcW w:w="2478" w:type="dxa"/>
          </w:tcPr>
          <w:p w14:paraId="798DEB2F" w14:textId="3C0BE32F" w:rsidR="00CF3FD9" w:rsidRPr="004B7B40" w:rsidRDefault="00CF3FD9" w:rsidP="00CF3FD9">
            <w:pPr>
              <w:rPr>
                <w:rFonts w:cstheme="minorHAnsi"/>
              </w:rPr>
            </w:pPr>
            <w:r w:rsidRPr="004B7B40">
              <w:rPr>
                <w:rFonts w:asciiTheme="minorHAnsi" w:hAnsiTheme="minorHAnsi" w:cstheme="minorHAnsi"/>
                <w:sz w:val="22"/>
                <w:szCs w:val="22"/>
              </w:rPr>
              <w:t>Over threshold</w:t>
            </w:r>
          </w:p>
        </w:tc>
        <w:tc>
          <w:tcPr>
            <w:tcW w:w="1770" w:type="dxa"/>
          </w:tcPr>
          <w:p w14:paraId="5484701F" w14:textId="2F17443D" w:rsidR="00CF3FD9" w:rsidRPr="004B7B40" w:rsidRDefault="00CF3FD9" w:rsidP="00CF3FD9">
            <w:pPr>
              <w:rPr>
                <w:rFonts w:cstheme="minorHAnsi"/>
              </w:rPr>
            </w:pPr>
            <w:r w:rsidRPr="004B7B40">
              <w:rPr>
                <w:rFonts w:asciiTheme="minorHAnsi" w:hAnsiTheme="minorHAnsi" w:cstheme="minorHAnsi"/>
                <w:sz w:val="22"/>
                <w:szCs w:val="22"/>
              </w:rPr>
              <w:t xml:space="preserve">Sell2Wales </w:t>
            </w:r>
          </w:p>
        </w:tc>
        <w:tc>
          <w:tcPr>
            <w:tcW w:w="3969" w:type="dxa"/>
          </w:tcPr>
          <w:p w14:paraId="77CE2D73" w14:textId="6869EAD9" w:rsidR="00CF3FD9" w:rsidRPr="00CF3FD9" w:rsidRDefault="00CF3FD9" w:rsidP="00CF3F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FD9">
              <w:rPr>
                <w:rFonts w:asciiTheme="minorHAnsi" w:hAnsiTheme="minorHAnsi" w:cstheme="minorHAnsi"/>
                <w:sz w:val="22"/>
                <w:szCs w:val="22"/>
              </w:rPr>
              <w:t>Modification of contracts during their term</w:t>
            </w:r>
            <w:r w:rsidR="00864E8F">
              <w:rPr>
                <w:rFonts w:asciiTheme="minorHAnsi" w:hAnsiTheme="minorHAnsi" w:cstheme="minorHAnsi"/>
                <w:sz w:val="22"/>
                <w:szCs w:val="22"/>
              </w:rPr>
              <w:t xml:space="preserve"> (Regulation 72)</w:t>
            </w:r>
          </w:p>
        </w:tc>
        <w:tc>
          <w:tcPr>
            <w:tcW w:w="1695" w:type="dxa"/>
          </w:tcPr>
          <w:p w14:paraId="3BB28CF7" w14:textId="77777777" w:rsidR="00CF3FD9" w:rsidRPr="005A6C60" w:rsidRDefault="00CF3FD9" w:rsidP="00CF3FD9">
            <w:pPr>
              <w:rPr>
                <w:rFonts w:cstheme="minorHAnsi"/>
              </w:rPr>
            </w:pPr>
          </w:p>
        </w:tc>
      </w:tr>
    </w:tbl>
    <w:p w14:paraId="49EBAE4C" w14:textId="77777777" w:rsidR="000C5FB2" w:rsidRDefault="000C5FB2" w:rsidP="001F623D">
      <w:pPr>
        <w:spacing w:after="0" w:line="240" w:lineRule="auto"/>
        <w:rPr>
          <w:rFonts w:cstheme="minorHAnsi"/>
          <w:b/>
          <w:bCs/>
        </w:rPr>
      </w:pPr>
    </w:p>
    <w:p w14:paraId="68DD648A" w14:textId="77777777" w:rsidR="000C5FB2" w:rsidRPr="005A6C60" w:rsidRDefault="000C5FB2" w:rsidP="001F623D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4955"/>
      </w:tblGrid>
      <w:tr w:rsidR="00B80543" w:rsidRPr="005A6C60" w14:paraId="7B0DCEC9" w14:textId="77777777" w:rsidTr="00B80543">
        <w:tc>
          <w:tcPr>
            <w:tcW w:w="3681" w:type="dxa"/>
            <w:shd w:val="clear" w:color="auto" w:fill="D9D9D9" w:themeFill="background1" w:themeFillShade="D9"/>
          </w:tcPr>
          <w:p w14:paraId="463BE57C" w14:textId="3D3519B9" w:rsidR="00B80543" w:rsidRPr="005A6C60" w:rsidRDefault="00A91257" w:rsidP="002265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Justification for </w:t>
            </w:r>
            <w:r w:rsidR="00EA7F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 Award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</w:t>
            </w:r>
            <w:r w:rsidR="00B80543"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F11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below threshold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DFB34C" w14:textId="07BCE637" w:rsidR="00B80543" w:rsidRPr="005A6C60" w:rsidRDefault="00B80543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Reason (</w:t>
            </w: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14:paraId="5AEE17A4" w14:textId="59EDAF3B" w:rsidR="00B80543" w:rsidRPr="005A6C60" w:rsidRDefault="00B80543" w:rsidP="002265F5">
            <w:pPr>
              <w:spacing w:afterLines="20" w:after="4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 of justification</w:t>
            </w:r>
            <w:r w:rsidR="00622FAC"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if a VEAT will be published</w:t>
            </w:r>
          </w:p>
        </w:tc>
      </w:tr>
      <w:tr w:rsidR="00B80543" w:rsidRPr="005A6C60" w14:paraId="71907F72" w14:textId="77777777" w:rsidTr="00B80543">
        <w:tc>
          <w:tcPr>
            <w:tcW w:w="3681" w:type="dxa"/>
          </w:tcPr>
          <w:p w14:paraId="5BC2EE8D" w14:textId="5B0AF53D" w:rsidR="00B80543" w:rsidRPr="005A6C60" w:rsidRDefault="00513965" w:rsidP="002265F5">
            <w:pPr>
              <w:spacing w:afterLines="20" w:after="4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Extreme Urgency</w:t>
            </w:r>
            <w:r w:rsidR="00C662EC" w:rsidRPr="005A6C60">
              <w:rPr>
                <w:rFonts w:asciiTheme="minorHAnsi" w:hAnsiTheme="minorHAnsi" w:cstheme="minorHAnsi"/>
                <w:sz w:val="22"/>
                <w:szCs w:val="22"/>
              </w:rPr>
              <w:t xml:space="preserve"> not of the University’s making</w:t>
            </w:r>
          </w:p>
        </w:tc>
        <w:tc>
          <w:tcPr>
            <w:tcW w:w="1276" w:type="dxa"/>
          </w:tcPr>
          <w:p w14:paraId="60468909" w14:textId="77777777" w:rsidR="00B80543" w:rsidRPr="005A6C60" w:rsidRDefault="00B80543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0D041B1A" w14:textId="77777777" w:rsidR="00B80543" w:rsidRPr="005A6C60" w:rsidRDefault="00B80543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965" w:rsidRPr="005A6C60" w14:paraId="479FA74F" w14:textId="77777777" w:rsidTr="00513965">
        <w:tc>
          <w:tcPr>
            <w:tcW w:w="3681" w:type="dxa"/>
          </w:tcPr>
          <w:p w14:paraId="099D3C69" w14:textId="74694939" w:rsidR="00513965" w:rsidRPr="005A6C60" w:rsidRDefault="00C662EC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 xml:space="preserve">Only available as proprietary /patented </w:t>
            </w:r>
            <w:r w:rsidR="00DC0A33" w:rsidRPr="005A6C60">
              <w:rPr>
                <w:rFonts w:asciiTheme="minorHAnsi" w:hAnsiTheme="minorHAnsi" w:cstheme="minorHAnsi"/>
                <w:sz w:val="22"/>
                <w:szCs w:val="22"/>
              </w:rPr>
              <w:t>articles, services or works with no satisfactory alternative</w:t>
            </w:r>
          </w:p>
        </w:tc>
        <w:tc>
          <w:tcPr>
            <w:tcW w:w="1276" w:type="dxa"/>
          </w:tcPr>
          <w:p w14:paraId="70234848" w14:textId="44E36C7D" w:rsidR="00513965" w:rsidRPr="005A6C60" w:rsidRDefault="00576C08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4955" w:type="dxa"/>
          </w:tcPr>
          <w:p w14:paraId="2C5DFE68" w14:textId="1E95A740" w:rsidR="009A1B71" w:rsidRDefault="00576C08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Details of the patent contained within a sole source letter available upon request</w:t>
            </w:r>
            <w:r w:rsidR="009A1B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F56C95" w14:textId="77777777" w:rsidR="009A1B71" w:rsidRDefault="009A1B71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8DE95" w14:textId="77AE3568" w:rsidR="009A1B71" w:rsidRPr="005A6C60" w:rsidRDefault="009A1B71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9A1B71">
              <w:rPr>
                <w:rFonts w:asciiTheme="minorHAnsi" w:hAnsiTheme="minorHAnsi" w:cstheme="minorHAnsi"/>
                <w:sz w:val="22"/>
                <w:szCs w:val="22"/>
              </w:rPr>
              <w:t>(iii) the protection of exclusive rights, including intellectual property rights.</w:t>
            </w:r>
          </w:p>
        </w:tc>
      </w:tr>
      <w:tr w:rsidR="00C9566C" w:rsidRPr="005A6C60" w14:paraId="44001556" w14:textId="77777777" w:rsidTr="00513965">
        <w:tc>
          <w:tcPr>
            <w:tcW w:w="3681" w:type="dxa"/>
          </w:tcPr>
          <w:p w14:paraId="6B6DFE47" w14:textId="0111A1F9" w:rsidR="00C9566C" w:rsidRPr="005A6C60" w:rsidRDefault="00C9566C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 xml:space="preserve">Compatibility with existing equipment, machinery, </w:t>
            </w:r>
            <w:r w:rsidR="005F490C" w:rsidRPr="005A6C60">
              <w:rPr>
                <w:rFonts w:asciiTheme="minorHAnsi" w:hAnsiTheme="minorHAnsi" w:cstheme="minorHAnsi"/>
                <w:sz w:val="22"/>
                <w:szCs w:val="22"/>
              </w:rPr>
              <w:t>systems,</w:t>
            </w: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 xml:space="preserve"> or software</w:t>
            </w:r>
          </w:p>
        </w:tc>
        <w:tc>
          <w:tcPr>
            <w:tcW w:w="1276" w:type="dxa"/>
          </w:tcPr>
          <w:p w14:paraId="75C0D11E" w14:textId="77777777" w:rsidR="00C9566C" w:rsidRPr="005A6C60" w:rsidRDefault="00C9566C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01235853" w14:textId="77777777" w:rsidR="00C9566C" w:rsidRPr="005A6C60" w:rsidRDefault="00C9566C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66C" w:rsidRPr="005A6C60" w14:paraId="0D70C352" w14:textId="77777777" w:rsidTr="00513965">
        <w:tc>
          <w:tcPr>
            <w:tcW w:w="3681" w:type="dxa"/>
          </w:tcPr>
          <w:p w14:paraId="04D2FA2B" w14:textId="0869D4DD" w:rsidR="00C9566C" w:rsidRPr="005A6C60" w:rsidRDefault="008D3E9E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 xml:space="preserve">Uniformity for collaborative research </w:t>
            </w:r>
          </w:p>
        </w:tc>
        <w:tc>
          <w:tcPr>
            <w:tcW w:w="1276" w:type="dxa"/>
          </w:tcPr>
          <w:p w14:paraId="2CD3FD64" w14:textId="77777777" w:rsidR="00C9566C" w:rsidRPr="005A6C60" w:rsidRDefault="00C9566C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5BACC0E4" w14:textId="77777777" w:rsidR="00C9566C" w:rsidRPr="005A6C60" w:rsidRDefault="00C9566C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E9E" w:rsidRPr="005A6C60" w14:paraId="24260ED7" w14:textId="77777777" w:rsidTr="00513965">
        <w:tc>
          <w:tcPr>
            <w:tcW w:w="3681" w:type="dxa"/>
          </w:tcPr>
          <w:p w14:paraId="31100303" w14:textId="2700478B" w:rsidR="008D3E9E" w:rsidRPr="005A6C60" w:rsidRDefault="008D3E9E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Part-exchange</w:t>
            </w:r>
            <w:r w:rsidR="008F6CAB" w:rsidRPr="005A6C60">
              <w:rPr>
                <w:rFonts w:asciiTheme="minorHAnsi" w:hAnsiTheme="minorHAnsi" w:cstheme="minorHAnsi"/>
                <w:sz w:val="22"/>
                <w:szCs w:val="22"/>
              </w:rPr>
              <w:t xml:space="preserve"> or ex-demonstration goods</w:t>
            </w:r>
          </w:p>
        </w:tc>
        <w:tc>
          <w:tcPr>
            <w:tcW w:w="1276" w:type="dxa"/>
          </w:tcPr>
          <w:p w14:paraId="4E5067F9" w14:textId="77777777" w:rsidR="008D3E9E" w:rsidRPr="005A6C60" w:rsidRDefault="008D3E9E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7DB1AC25" w14:textId="77777777" w:rsidR="008D3E9E" w:rsidRPr="005A6C60" w:rsidRDefault="008D3E9E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6CAB" w:rsidRPr="005A6C60" w14:paraId="21CEF523" w14:textId="77777777" w:rsidTr="00513965">
        <w:tc>
          <w:tcPr>
            <w:tcW w:w="3681" w:type="dxa"/>
          </w:tcPr>
          <w:p w14:paraId="2F9069DB" w14:textId="1C927A12" w:rsidR="008F6CAB" w:rsidRPr="005A6C60" w:rsidRDefault="008F6CAB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Mandated on grant award letter/formal grant documentation</w:t>
            </w:r>
          </w:p>
        </w:tc>
        <w:tc>
          <w:tcPr>
            <w:tcW w:w="1276" w:type="dxa"/>
          </w:tcPr>
          <w:p w14:paraId="5239D305" w14:textId="77777777" w:rsidR="008F6CAB" w:rsidRPr="005A6C60" w:rsidRDefault="008F6CAB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0F614634" w14:textId="77777777" w:rsidR="008F6CAB" w:rsidRPr="005A6C60" w:rsidRDefault="008F6CAB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C51" w:rsidRPr="005A6C60" w14:paraId="111FF9F3" w14:textId="77777777" w:rsidTr="00513965">
        <w:tc>
          <w:tcPr>
            <w:tcW w:w="3681" w:type="dxa"/>
          </w:tcPr>
          <w:p w14:paraId="7BF205FB" w14:textId="316735C3" w:rsidR="002A2C51" w:rsidRPr="005A6C60" w:rsidRDefault="002A2C51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Not possible, following advertisement to secure competition</w:t>
            </w:r>
          </w:p>
        </w:tc>
        <w:tc>
          <w:tcPr>
            <w:tcW w:w="1276" w:type="dxa"/>
          </w:tcPr>
          <w:p w14:paraId="0EDC6F70" w14:textId="77777777" w:rsidR="002A2C51" w:rsidRPr="005A6C60" w:rsidRDefault="002A2C51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39ABDBE7" w14:textId="77777777" w:rsidR="002A2C51" w:rsidRPr="005A6C60" w:rsidRDefault="002A2C51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C51" w:rsidRPr="005A6C60" w14:paraId="5E16AB2E" w14:textId="77777777" w:rsidTr="00513965">
        <w:tc>
          <w:tcPr>
            <w:tcW w:w="3681" w:type="dxa"/>
          </w:tcPr>
          <w:p w14:paraId="6C86780A" w14:textId="346BB174" w:rsidR="002A2C51" w:rsidRPr="005A6C60" w:rsidRDefault="002A2C51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&lt;insert any other – though please note unlikely to be approved as this falls outside policy&gt;</w:t>
            </w:r>
          </w:p>
        </w:tc>
        <w:tc>
          <w:tcPr>
            <w:tcW w:w="1276" w:type="dxa"/>
          </w:tcPr>
          <w:p w14:paraId="7DB80EB1" w14:textId="77777777" w:rsidR="002A2C51" w:rsidRPr="005A6C60" w:rsidRDefault="002A2C51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19188E45" w14:textId="77777777" w:rsidR="002A2C51" w:rsidRPr="005A6C60" w:rsidRDefault="002A2C51" w:rsidP="002265F5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BECDD9" w14:textId="77777777" w:rsidR="00D61C3B" w:rsidRDefault="00D61C3B" w:rsidP="00871935">
      <w:pPr>
        <w:spacing w:after="0" w:line="240" w:lineRule="auto"/>
        <w:rPr>
          <w:rFonts w:cstheme="minorHAnsi"/>
          <w:b/>
          <w:bCs/>
        </w:rPr>
      </w:pPr>
    </w:p>
    <w:p w14:paraId="4A27A551" w14:textId="58F9401B" w:rsidR="00871935" w:rsidRPr="005A6C60" w:rsidRDefault="00BC064D" w:rsidP="00871935">
      <w:pPr>
        <w:spacing w:after="0" w:line="240" w:lineRule="auto"/>
        <w:rPr>
          <w:rFonts w:cstheme="minorHAnsi"/>
        </w:rPr>
      </w:pPr>
      <w:r w:rsidRPr="005A6C60">
        <w:rPr>
          <w:rFonts w:cstheme="minorHAnsi"/>
          <w:b/>
          <w:bCs/>
        </w:rPr>
        <w:t>Proposed terms</w:t>
      </w:r>
      <w:r w:rsidR="00871935">
        <w:rPr>
          <w:rFonts w:cstheme="minorHAns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4955"/>
      </w:tblGrid>
      <w:tr w:rsidR="00871935" w:rsidRPr="005A6C60" w14:paraId="3E04AE10" w14:textId="77777777" w:rsidTr="00AC4226">
        <w:tc>
          <w:tcPr>
            <w:tcW w:w="3681" w:type="dxa"/>
            <w:shd w:val="clear" w:color="auto" w:fill="D9D9D9" w:themeFill="background1" w:themeFillShade="D9"/>
          </w:tcPr>
          <w:p w14:paraId="0C9559FB" w14:textId="77777777" w:rsidR="00871935" w:rsidRPr="005A6C60" w:rsidRDefault="00871935" w:rsidP="00AC42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8A99E77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Terms to be used (</w:t>
            </w: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14:paraId="7E31227A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Relevant supporting information</w:t>
            </w:r>
          </w:p>
        </w:tc>
      </w:tr>
      <w:tr w:rsidR="00871935" w:rsidRPr="005A6C60" w14:paraId="434EC720" w14:textId="77777777" w:rsidTr="00AC4226">
        <w:tc>
          <w:tcPr>
            <w:tcW w:w="3681" w:type="dxa"/>
          </w:tcPr>
          <w:p w14:paraId="54966C82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Framework Call Off</w:t>
            </w:r>
          </w:p>
        </w:tc>
        <w:tc>
          <w:tcPr>
            <w:tcW w:w="1276" w:type="dxa"/>
          </w:tcPr>
          <w:p w14:paraId="29CDA91F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51DDC155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935" w:rsidRPr="005A6C60" w14:paraId="059DF47E" w14:textId="77777777" w:rsidTr="00AC4226">
        <w:tc>
          <w:tcPr>
            <w:tcW w:w="3681" w:type="dxa"/>
          </w:tcPr>
          <w:p w14:paraId="4039EA05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Standard Cardiff terms</w:t>
            </w:r>
          </w:p>
        </w:tc>
        <w:tc>
          <w:tcPr>
            <w:tcW w:w="1276" w:type="dxa"/>
          </w:tcPr>
          <w:p w14:paraId="08D3A207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39FBA2B6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935" w:rsidRPr="005A6C60" w14:paraId="132188C9" w14:textId="77777777" w:rsidTr="00AC4226">
        <w:tc>
          <w:tcPr>
            <w:tcW w:w="3681" w:type="dxa"/>
          </w:tcPr>
          <w:p w14:paraId="17B9271F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Standard Cardiff consultancy terms</w:t>
            </w:r>
          </w:p>
        </w:tc>
        <w:tc>
          <w:tcPr>
            <w:tcW w:w="1276" w:type="dxa"/>
          </w:tcPr>
          <w:p w14:paraId="351E7D38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6DB6A695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935" w:rsidRPr="005A6C60" w14:paraId="6693C8AB" w14:textId="77777777" w:rsidTr="00AC4226">
        <w:tc>
          <w:tcPr>
            <w:tcW w:w="3681" w:type="dxa"/>
          </w:tcPr>
          <w:p w14:paraId="088934CE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Model form construction terms</w:t>
            </w:r>
          </w:p>
        </w:tc>
        <w:tc>
          <w:tcPr>
            <w:tcW w:w="1276" w:type="dxa"/>
          </w:tcPr>
          <w:p w14:paraId="12BB75A4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3C9CCDE6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935" w:rsidRPr="005A6C60" w14:paraId="3417D4AB" w14:textId="77777777" w:rsidTr="00AC4226">
        <w:tc>
          <w:tcPr>
            <w:tcW w:w="3681" w:type="dxa"/>
          </w:tcPr>
          <w:p w14:paraId="4E863956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MDI Master Services Agreement</w:t>
            </w:r>
          </w:p>
        </w:tc>
        <w:tc>
          <w:tcPr>
            <w:tcW w:w="1276" w:type="dxa"/>
          </w:tcPr>
          <w:p w14:paraId="0E5283B1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0E92E2EA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935" w:rsidRPr="005A6C60" w14:paraId="0B86A099" w14:textId="77777777" w:rsidTr="00AC4226">
        <w:tc>
          <w:tcPr>
            <w:tcW w:w="3681" w:type="dxa"/>
          </w:tcPr>
          <w:p w14:paraId="11467DAA" w14:textId="77777777" w:rsidR="00871935" w:rsidRPr="005A6C60" w:rsidRDefault="00871935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Supplier Terms</w:t>
            </w:r>
          </w:p>
        </w:tc>
        <w:tc>
          <w:tcPr>
            <w:tcW w:w="1276" w:type="dxa"/>
          </w:tcPr>
          <w:p w14:paraId="584F988E" w14:textId="6BFB09EC" w:rsidR="00871935" w:rsidRPr="005A6C60" w:rsidRDefault="00F16AD4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4955" w:type="dxa"/>
          </w:tcPr>
          <w:p w14:paraId="009C6977" w14:textId="3EA85D25" w:rsidR="00871935" w:rsidRPr="005A6C60" w:rsidRDefault="009A1B71" w:rsidP="00AC4226">
            <w:pPr>
              <w:spacing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Reviewed – no issues, standard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30 day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delivery and DDP agreed.</w:t>
            </w:r>
          </w:p>
        </w:tc>
      </w:tr>
    </w:tbl>
    <w:p w14:paraId="7046D44C" w14:textId="77777777" w:rsidR="00871935" w:rsidRDefault="00871935" w:rsidP="00A56688">
      <w:pPr>
        <w:spacing w:after="0" w:line="240" w:lineRule="auto"/>
        <w:rPr>
          <w:rFonts w:cstheme="minorHAnsi"/>
          <w:b/>
          <w:bCs/>
        </w:rPr>
      </w:pPr>
    </w:p>
    <w:p w14:paraId="1DC4900B" w14:textId="65EAEBB0" w:rsidR="00A56688" w:rsidRPr="005A6C60" w:rsidRDefault="00A56688" w:rsidP="00A56688">
      <w:pPr>
        <w:spacing w:after="0" w:line="240" w:lineRule="auto"/>
        <w:rPr>
          <w:rFonts w:cstheme="minorHAnsi"/>
        </w:rPr>
      </w:pPr>
      <w:r w:rsidRPr="005A6C60">
        <w:rPr>
          <w:rFonts w:cstheme="minorHAnsi"/>
          <w:b/>
          <w:bCs/>
        </w:rPr>
        <w:t>The contract will be signed on behalf of the University by</w:t>
      </w:r>
      <w:r w:rsidRPr="005A6C60">
        <w:rPr>
          <w:rFonts w:cstheme="minorHAnsi"/>
        </w:rPr>
        <w:t xml:space="preserve">: </w:t>
      </w:r>
      <w:r w:rsidR="0055653E">
        <w:rPr>
          <w:rFonts w:cstheme="minorHAnsi"/>
        </w:rPr>
        <w:t>Natalie Stewart</w:t>
      </w:r>
    </w:p>
    <w:p w14:paraId="33534099" w14:textId="27CF9F27" w:rsidR="00A56688" w:rsidRDefault="00BF7E40" w:rsidP="00A5668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£25-99K </w:t>
      </w:r>
      <w:r w:rsidR="005E5C41">
        <w:rPr>
          <w:rFonts w:cstheme="minorHAnsi"/>
        </w:rPr>
        <w:t>Dir of Fin Ops/CIO</w:t>
      </w:r>
    </w:p>
    <w:p w14:paraId="510EE90F" w14:textId="7BC20AB6" w:rsidR="00A56688" w:rsidRPr="005A6C60" w:rsidRDefault="00A56688" w:rsidP="004A60CA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A1F01" w:rsidRPr="005A6C60" w14:paraId="0DA30D37" w14:textId="77777777" w:rsidTr="002265F5">
        <w:tc>
          <w:tcPr>
            <w:tcW w:w="9912" w:type="dxa"/>
            <w:shd w:val="clear" w:color="auto" w:fill="D3374A"/>
          </w:tcPr>
          <w:p w14:paraId="1FE775E8" w14:textId="75F68FFF" w:rsidR="00AA1F01" w:rsidRPr="005A6C60" w:rsidRDefault="00E13FFD" w:rsidP="002265F5">
            <w:pPr>
              <w:spacing w:afterLines="5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7</w:t>
            </w:r>
            <w:r w:rsidR="00AA1F01" w:rsidRPr="005A6C6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1144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Due Diligence</w:t>
            </w:r>
          </w:p>
        </w:tc>
      </w:tr>
    </w:tbl>
    <w:p w14:paraId="312CAB36" w14:textId="1C28F58A" w:rsidR="0011447E" w:rsidRDefault="0011447E" w:rsidP="0060408C">
      <w:pPr>
        <w:spacing w:after="0" w:line="240" w:lineRule="auto"/>
        <w:jc w:val="both"/>
        <w:rPr>
          <w:rFonts w:cstheme="minorHAnsi"/>
        </w:rPr>
      </w:pPr>
    </w:p>
    <w:p w14:paraId="3EBECD06" w14:textId="419C77AD" w:rsidR="0035012F" w:rsidRPr="00BF2098" w:rsidRDefault="0035012F" w:rsidP="0060408C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Previous </w:t>
      </w:r>
      <w:r w:rsidR="00EA7F5A">
        <w:rPr>
          <w:rFonts w:cstheme="minorHAnsi"/>
          <w:b/>
          <w:bCs/>
        </w:rPr>
        <w:t>Direct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709"/>
        <w:gridCol w:w="1769"/>
        <w:gridCol w:w="783"/>
        <w:gridCol w:w="1695"/>
      </w:tblGrid>
      <w:tr w:rsidR="002B61BE" w:rsidRPr="00810DC2" w14:paraId="6FB7B679" w14:textId="77777777" w:rsidTr="002B61BE">
        <w:tc>
          <w:tcPr>
            <w:tcW w:w="4956" w:type="dxa"/>
          </w:tcPr>
          <w:p w14:paraId="05DBF6B6" w14:textId="5B050BE5" w:rsidR="002B61BE" w:rsidRPr="00301737" w:rsidRDefault="002B61BE" w:rsidP="0060408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1737">
              <w:rPr>
                <w:rFonts w:asciiTheme="minorHAnsi" w:hAnsiTheme="minorHAnsi" w:cstheme="minorHAnsi"/>
                <w:sz w:val="22"/>
                <w:szCs w:val="22"/>
              </w:rPr>
              <w:t xml:space="preserve">Has this procurement been subject to previous </w:t>
            </w:r>
            <w:r w:rsidR="00EA7F5A">
              <w:rPr>
                <w:rFonts w:asciiTheme="minorHAnsi" w:hAnsiTheme="minorHAnsi" w:cstheme="minorHAnsi"/>
                <w:sz w:val="22"/>
                <w:szCs w:val="22"/>
              </w:rPr>
              <w:t>direct award</w:t>
            </w:r>
            <w:r w:rsidRPr="0030173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56" w:type="dxa"/>
            <w:gridSpan w:val="4"/>
          </w:tcPr>
          <w:p w14:paraId="62945618" w14:textId="55E379D3" w:rsidR="002B61BE" w:rsidRPr="00301737" w:rsidRDefault="00301737" w:rsidP="00301737">
            <w:pPr>
              <w:tabs>
                <w:tab w:val="left" w:pos="12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737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cstheme="minorHAnsi"/>
                  <w:w w:val="0"/>
                </w:rPr>
                <w:id w:val="7002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737">
                  <w:rPr>
                    <w:rFonts w:ascii="Segoe UI Symbol" w:eastAsia="MS Gothic" w:hAnsi="Segoe UI Symbol" w:cs="Segoe UI Symbol"/>
                    <w:w w:val="0"/>
                    <w:sz w:val="22"/>
                    <w:szCs w:val="22"/>
                  </w:rPr>
                  <w:t>☐</w:t>
                </w:r>
              </w:sdtContent>
            </w:sdt>
            <w:r w:rsidRPr="00301737">
              <w:rPr>
                <w:rFonts w:asciiTheme="minorHAnsi" w:hAnsiTheme="minorHAnsi" w:cstheme="minorHAnsi"/>
                <w:w w:val="0"/>
                <w:sz w:val="22"/>
                <w:szCs w:val="22"/>
              </w:rPr>
              <w:tab/>
              <w:t xml:space="preserve">No </w:t>
            </w:r>
            <w:sdt>
              <w:sdtPr>
                <w:rPr>
                  <w:rFonts w:cstheme="minorHAnsi"/>
                  <w:w w:val="0"/>
                </w:rPr>
                <w:id w:val="424928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962">
                  <w:rPr>
                    <w:rFonts w:ascii="MS Gothic" w:eastAsia="MS Gothic" w:hAnsi="MS Gothic" w:cstheme="minorHAnsi" w:hint="eastAsia"/>
                    <w:w w:val="0"/>
                  </w:rPr>
                  <w:t>☒</w:t>
                </w:r>
              </w:sdtContent>
            </w:sdt>
          </w:p>
        </w:tc>
      </w:tr>
      <w:tr w:rsidR="000671AD" w:rsidRPr="00810DC2" w14:paraId="4520065B" w14:textId="77777777" w:rsidTr="000671AD">
        <w:tc>
          <w:tcPr>
            <w:tcW w:w="4956" w:type="dxa"/>
          </w:tcPr>
          <w:p w14:paraId="75E04567" w14:textId="1FDC9121" w:rsidR="000671AD" w:rsidRPr="00301737" w:rsidRDefault="000671AD" w:rsidP="00604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737">
              <w:rPr>
                <w:rFonts w:asciiTheme="minorHAnsi" w:hAnsiTheme="minorHAnsi" w:cstheme="minorHAnsi"/>
                <w:sz w:val="22"/>
                <w:szCs w:val="22"/>
              </w:rPr>
              <w:t>If yes</w:t>
            </w:r>
          </w:p>
        </w:tc>
        <w:tc>
          <w:tcPr>
            <w:tcW w:w="709" w:type="dxa"/>
          </w:tcPr>
          <w:p w14:paraId="771D7283" w14:textId="648EEE1C" w:rsidR="000671AD" w:rsidRPr="00301737" w:rsidRDefault="000671AD" w:rsidP="00604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73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1769" w:type="dxa"/>
          </w:tcPr>
          <w:p w14:paraId="3FBF117D" w14:textId="77777777" w:rsidR="000671AD" w:rsidRPr="00301737" w:rsidRDefault="000671AD" w:rsidP="00604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3" w:type="dxa"/>
          </w:tcPr>
          <w:p w14:paraId="200EB2AB" w14:textId="7DD86EBE" w:rsidR="000671AD" w:rsidRPr="00301737" w:rsidRDefault="000671AD" w:rsidP="00604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737">
              <w:rPr>
                <w:rFonts w:asciiTheme="minorHAnsi" w:hAnsiTheme="minorHAnsi" w:cstheme="minorHAnsi"/>
                <w:sz w:val="22"/>
                <w:szCs w:val="22"/>
              </w:rPr>
              <w:t>Value:</w:t>
            </w:r>
          </w:p>
        </w:tc>
        <w:tc>
          <w:tcPr>
            <w:tcW w:w="1695" w:type="dxa"/>
          </w:tcPr>
          <w:p w14:paraId="37D36D97" w14:textId="731D7CC9" w:rsidR="000671AD" w:rsidRPr="00301737" w:rsidRDefault="000671AD" w:rsidP="00604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737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2B61BE" w:rsidRPr="00810DC2" w14:paraId="07D6EA10" w14:textId="77777777" w:rsidTr="002B61BE">
        <w:tc>
          <w:tcPr>
            <w:tcW w:w="4956" w:type="dxa"/>
          </w:tcPr>
          <w:p w14:paraId="78A0BC5A" w14:textId="643CB401" w:rsidR="002B61BE" w:rsidRPr="00301737" w:rsidRDefault="00DF0F98" w:rsidP="00604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737">
              <w:rPr>
                <w:rFonts w:asciiTheme="minorHAnsi" w:hAnsiTheme="minorHAnsi" w:cstheme="minorHAnsi"/>
                <w:sz w:val="22"/>
                <w:szCs w:val="22"/>
              </w:rPr>
              <w:t>Is this requirement likely to be required again in the future</w:t>
            </w:r>
            <w:r w:rsidR="00F51775" w:rsidRPr="00301737">
              <w:rPr>
                <w:rFonts w:asciiTheme="minorHAnsi" w:hAnsiTheme="minorHAnsi" w:cstheme="minorHAnsi"/>
                <w:sz w:val="22"/>
                <w:szCs w:val="22"/>
              </w:rPr>
              <w:t xml:space="preserve"> and what plans are in place to mitigate the risk of a further </w:t>
            </w:r>
            <w:r w:rsidR="00EA7F5A">
              <w:rPr>
                <w:rFonts w:asciiTheme="minorHAnsi" w:hAnsiTheme="minorHAnsi" w:cstheme="minorHAnsi"/>
                <w:sz w:val="22"/>
                <w:szCs w:val="22"/>
              </w:rPr>
              <w:t>direct award</w:t>
            </w:r>
            <w:r w:rsidR="00F51775" w:rsidRPr="00301737">
              <w:rPr>
                <w:rFonts w:asciiTheme="minorHAnsi" w:hAnsiTheme="minorHAnsi" w:cstheme="minorHAnsi"/>
                <w:sz w:val="22"/>
                <w:szCs w:val="22"/>
              </w:rPr>
              <w:t xml:space="preserve"> request?</w:t>
            </w:r>
            <w:r w:rsidRPr="003017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56" w:type="dxa"/>
            <w:gridSpan w:val="4"/>
          </w:tcPr>
          <w:p w14:paraId="4966CD18" w14:textId="691F8C5F" w:rsidR="002B61BE" w:rsidRPr="00301737" w:rsidRDefault="00714962" w:rsidP="00604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are no plans, as there’s currently no basis for competition.</w:t>
            </w:r>
          </w:p>
        </w:tc>
      </w:tr>
    </w:tbl>
    <w:p w14:paraId="48233072" w14:textId="77777777" w:rsidR="0035012F" w:rsidRPr="00810DC2" w:rsidRDefault="0035012F" w:rsidP="0060408C">
      <w:pPr>
        <w:spacing w:after="0" w:line="240" w:lineRule="auto"/>
        <w:jc w:val="both"/>
        <w:rPr>
          <w:rFonts w:cstheme="minorHAnsi"/>
          <w:b/>
          <w:bCs/>
        </w:rPr>
      </w:pPr>
    </w:p>
    <w:p w14:paraId="6A60672D" w14:textId="58AA99AB" w:rsidR="00666DA4" w:rsidRPr="00666DA4" w:rsidRDefault="00666DA4" w:rsidP="0060408C">
      <w:pPr>
        <w:spacing w:after="0" w:line="240" w:lineRule="auto"/>
        <w:jc w:val="both"/>
        <w:rPr>
          <w:rFonts w:cstheme="minorHAnsi"/>
          <w:b/>
          <w:bCs/>
        </w:rPr>
      </w:pPr>
      <w:r w:rsidRPr="00666DA4">
        <w:rPr>
          <w:rFonts w:cstheme="minorHAnsi"/>
          <w:b/>
          <w:bCs/>
        </w:rPr>
        <w:t xml:space="preserve">Financial due diligence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666DA4" w14:paraId="1894E704" w14:textId="77777777" w:rsidTr="00666DA4">
        <w:tc>
          <w:tcPr>
            <w:tcW w:w="4956" w:type="dxa"/>
          </w:tcPr>
          <w:p w14:paraId="30F43542" w14:textId="494F463E" w:rsidR="00666DA4" w:rsidRPr="00666DA4" w:rsidRDefault="00871935" w:rsidP="00604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666DA4" w:rsidRPr="00666DA4">
              <w:rPr>
                <w:rFonts w:asciiTheme="minorHAnsi" w:hAnsiTheme="minorHAnsi" w:cstheme="minorHAnsi"/>
                <w:sz w:val="22"/>
                <w:szCs w:val="22"/>
              </w:rPr>
              <w:t>un and Bradstreet Score</w:t>
            </w:r>
          </w:p>
        </w:tc>
        <w:tc>
          <w:tcPr>
            <w:tcW w:w="4956" w:type="dxa"/>
          </w:tcPr>
          <w:p w14:paraId="23AC0051" w14:textId="6FB88A5E" w:rsidR="00666DA4" w:rsidRPr="00666DA4" w:rsidRDefault="00714962" w:rsidP="00604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(48)</w:t>
            </w:r>
          </w:p>
        </w:tc>
      </w:tr>
      <w:tr w:rsidR="00D36084" w14:paraId="3A5E2A47" w14:textId="77777777" w:rsidTr="00666DA4">
        <w:tc>
          <w:tcPr>
            <w:tcW w:w="4956" w:type="dxa"/>
          </w:tcPr>
          <w:p w14:paraId="2E7F2E61" w14:textId="2808E683" w:rsidR="00D36084" w:rsidRPr="00E53538" w:rsidRDefault="00E53538" w:rsidP="00604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3538">
              <w:rPr>
                <w:rFonts w:asciiTheme="minorHAnsi" w:hAnsiTheme="minorHAnsi" w:cstheme="minorHAnsi"/>
                <w:sz w:val="22"/>
                <w:szCs w:val="22"/>
              </w:rPr>
              <w:t>Detail other method if no D&amp;B available</w:t>
            </w:r>
          </w:p>
        </w:tc>
        <w:tc>
          <w:tcPr>
            <w:tcW w:w="4956" w:type="dxa"/>
          </w:tcPr>
          <w:p w14:paraId="60230405" w14:textId="77777777" w:rsidR="00D36084" w:rsidRPr="00666DA4" w:rsidRDefault="00D36084" w:rsidP="0060408C">
            <w:pPr>
              <w:jc w:val="both"/>
              <w:rPr>
                <w:rFonts w:cstheme="minorHAnsi"/>
              </w:rPr>
            </w:pPr>
          </w:p>
        </w:tc>
      </w:tr>
    </w:tbl>
    <w:p w14:paraId="6E1F7A9B" w14:textId="6966C256" w:rsidR="0011447E" w:rsidRDefault="0011447E" w:rsidP="0060408C">
      <w:pPr>
        <w:spacing w:after="0" w:line="240" w:lineRule="auto"/>
        <w:jc w:val="both"/>
        <w:rPr>
          <w:rFonts w:cstheme="minorHAnsi"/>
        </w:rPr>
      </w:pPr>
    </w:p>
    <w:p w14:paraId="3824B1F0" w14:textId="5C0A33F9" w:rsidR="0011447E" w:rsidRDefault="00666DA4" w:rsidP="0060408C">
      <w:pPr>
        <w:spacing w:after="0" w:line="240" w:lineRule="auto"/>
        <w:jc w:val="both"/>
        <w:rPr>
          <w:rFonts w:cstheme="minorHAnsi"/>
        </w:rPr>
      </w:pPr>
      <w:r w:rsidRPr="00666DA4">
        <w:rPr>
          <w:rFonts w:cstheme="minorHAnsi"/>
          <w:b/>
          <w:bCs/>
        </w:rPr>
        <w:t>Conflict of Interest Forms</w:t>
      </w:r>
      <w:r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1794"/>
        <w:gridCol w:w="4814"/>
      </w:tblGrid>
      <w:tr w:rsidR="00666DA4" w14:paraId="1170BFD1" w14:textId="77777777" w:rsidTr="00666DA4">
        <w:tc>
          <w:tcPr>
            <w:tcW w:w="3304" w:type="dxa"/>
          </w:tcPr>
          <w:p w14:paraId="1340F362" w14:textId="63C79A4B" w:rsidR="00666DA4" w:rsidRPr="00666DA4" w:rsidRDefault="00666DA4" w:rsidP="006040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6DA4">
              <w:rPr>
                <w:rFonts w:ascii="Calibri" w:hAnsi="Calibri" w:cs="Calibri"/>
                <w:b/>
                <w:bCs/>
                <w:sz w:val="22"/>
                <w:szCs w:val="22"/>
              </w:rPr>
              <w:t>Individual</w:t>
            </w:r>
          </w:p>
        </w:tc>
        <w:tc>
          <w:tcPr>
            <w:tcW w:w="1794" w:type="dxa"/>
          </w:tcPr>
          <w:p w14:paraId="3DC5AA9A" w14:textId="507C6226" w:rsidR="00666DA4" w:rsidRPr="00666DA4" w:rsidRDefault="00666DA4" w:rsidP="006040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6DA4">
              <w:rPr>
                <w:rFonts w:ascii="Calibri" w:hAnsi="Calibri" w:cs="Calibri"/>
                <w:b/>
                <w:bCs/>
                <w:sz w:val="22"/>
                <w:szCs w:val="22"/>
              </w:rPr>
              <w:t>COI Received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r w:rsidR="00714962"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14:paraId="632EB208" w14:textId="0BE4E1D9" w:rsidR="00666DA4" w:rsidRPr="00666DA4" w:rsidRDefault="00666DA4" w:rsidP="006040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6DA4">
              <w:rPr>
                <w:rFonts w:ascii="Calibri" w:hAnsi="Calibri" w:cs="Calibri"/>
                <w:b/>
                <w:bCs/>
                <w:sz w:val="22"/>
                <w:szCs w:val="22"/>
              </w:rPr>
              <w:t>COIs Identified / declared</w:t>
            </w:r>
          </w:p>
        </w:tc>
      </w:tr>
      <w:tr w:rsidR="00666DA4" w14:paraId="7846255A" w14:textId="77777777" w:rsidTr="00666DA4">
        <w:tc>
          <w:tcPr>
            <w:tcW w:w="3304" w:type="dxa"/>
          </w:tcPr>
          <w:p w14:paraId="2D7B5F69" w14:textId="7840000E" w:rsidR="00666DA4" w:rsidRPr="00666DA4" w:rsidRDefault="00714962" w:rsidP="006040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Harry Morris</w:t>
            </w:r>
          </w:p>
        </w:tc>
        <w:tc>
          <w:tcPr>
            <w:tcW w:w="1794" w:type="dxa"/>
          </w:tcPr>
          <w:p w14:paraId="7108189B" w14:textId="17477851" w:rsidR="00666DA4" w:rsidRPr="00666DA4" w:rsidRDefault="00714962" w:rsidP="006040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4814" w:type="dxa"/>
          </w:tcPr>
          <w:p w14:paraId="5EA4EDDD" w14:textId="418DCADA" w:rsidR="00666DA4" w:rsidRPr="00666DA4" w:rsidRDefault="00714962" w:rsidP="006040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None identified</w:t>
            </w:r>
          </w:p>
        </w:tc>
      </w:tr>
      <w:tr w:rsidR="00666DA4" w14:paraId="340F4F74" w14:textId="77777777" w:rsidTr="00666DA4">
        <w:tc>
          <w:tcPr>
            <w:tcW w:w="3304" w:type="dxa"/>
          </w:tcPr>
          <w:p w14:paraId="3613E761" w14:textId="63FECDFA" w:rsidR="00666DA4" w:rsidRPr="00666DA4" w:rsidRDefault="00714962" w:rsidP="006040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4962">
              <w:rPr>
                <w:rFonts w:ascii="Calibri" w:hAnsi="Calibri" w:cs="Calibri"/>
                <w:sz w:val="22"/>
                <w:szCs w:val="22"/>
              </w:rPr>
              <w:t>Sara Davies</w:t>
            </w:r>
          </w:p>
        </w:tc>
        <w:tc>
          <w:tcPr>
            <w:tcW w:w="1794" w:type="dxa"/>
          </w:tcPr>
          <w:p w14:paraId="34A04D7B" w14:textId="7D408E1F" w:rsidR="00666DA4" w:rsidRPr="00666DA4" w:rsidRDefault="00714962" w:rsidP="006040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4814" w:type="dxa"/>
          </w:tcPr>
          <w:p w14:paraId="04C927FA" w14:textId="6A9637FF" w:rsidR="00666DA4" w:rsidRPr="00666DA4" w:rsidRDefault="00714962" w:rsidP="006040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None identified</w:t>
            </w:r>
          </w:p>
        </w:tc>
      </w:tr>
      <w:tr w:rsidR="00666DA4" w14:paraId="36A8E6F7" w14:textId="77777777" w:rsidTr="00666DA4">
        <w:tc>
          <w:tcPr>
            <w:tcW w:w="3304" w:type="dxa"/>
          </w:tcPr>
          <w:p w14:paraId="4A67E05E" w14:textId="77777777" w:rsidR="00666DA4" w:rsidRPr="00666DA4" w:rsidRDefault="00666DA4" w:rsidP="006040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0E175E14" w14:textId="77777777" w:rsidR="00666DA4" w:rsidRPr="00666DA4" w:rsidRDefault="00666DA4" w:rsidP="006040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3180D645" w14:textId="77777777" w:rsidR="00666DA4" w:rsidRPr="00666DA4" w:rsidRDefault="00666DA4" w:rsidP="006040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254533" w14:textId="77777777" w:rsidR="001E268A" w:rsidRDefault="001E268A" w:rsidP="0060408C">
      <w:pPr>
        <w:spacing w:after="0" w:line="240" w:lineRule="auto"/>
        <w:jc w:val="both"/>
        <w:rPr>
          <w:rFonts w:cstheme="minorHAnsi"/>
        </w:rPr>
      </w:pPr>
    </w:p>
    <w:tbl>
      <w:tblPr>
        <w:tblW w:w="4972" w:type="pct"/>
        <w:tblInd w:w="-5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6724"/>
      </w:tblGrid>
      <w:tr w:rsidR="005D4C72" w:rsidRPr="00941E64" w14:paraId="6C746F5C" w14:textId="77777777" w:rsidTr="000B68AF">
        <w:trPr>
          <w:trHeight w:val="340"/>
        </w:trPr>
        <w:tc>
          <w:tcPr>
            <w:tcW w:w="9856" w:type="dxa"/>
            <w:gridSpan w:val="2"/>
            <w:tcBorders>
              <w:left w:val="single" w:sz="4" w:space="0" w:color="auto"/>
            </w:tcBorders>
            <w:shd w:val="clear" w:color="auto" w:fill="D3374A"/>
          </w:tcPr>
          <w:p w14:paraId="0F5C8C06" w14:textId="2CE98270" w:rsidR="005D4C72" w:rsidRPr="00941E64" w:rsidRDefault="00E13FFD" w:rsidP="006E5A4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8</w:t>
            </w:r>
            <w:r w:rsidR="005D4C72" w:rsidRPr="00941E64">
              <w:rPr>
                <w:rFonts w:cstheme="minorHAnsi"/>
                <w:b/>
                <w:bCs/>
                <w:color w:val="FFFFFF" w:themeColor="background1"/>
              </w:rPr>
              <w:t>. Impact &amp; Savings</w:t>
            </w:r>
            <w:r w:rsidR="00620F37">
              <w:rPr>
                <w:rFonts w:cstheme="minorHAnsi"/>
                <w:b/>
                <w:bCs/>
                <w:color w:val="FFFFFF" w:themeColor="background1"/>
              </w:rPr>
              <w:t xml:space="preserve"> - </w:t>
            </w:r>
            <w:r w:rsidR="00620F37" w:rsidRPr="00620F37">
              <w:rPr>
                <w:rFonts w:cstheme="minorHAnsi"/>
                <w:b/>
                <w:bCs/>
                <w:color w:val="FFFFFF" w:themeColor="background1"/>
              </w:rPr>
              <w:t>L - Laboratory/Animal House Supplies &amp; Services</w:t>
            </w:r>
          </w:p>
        </w:tc>
      </w:tr>
      <w:tr w:rsidR="005D4C72" w:rsidRPr="00941E64" w14:paraId="0D85A76B" w14:textId="77777777" w:rsidTr="000B68AF">
        <w:trPr>
          <w:trHeight w:val="547"/>
        </w:trPr>
        <w:tc>
          <w:tcPr>
            <w:tcW w:w="3132" w:type="dxa"/>
            <w:tcBorders>
              <w:left w:val="single" w:sz="4" w:space="0" w:color="auto"/>
            </w:tcBorders>
            <w:shd w:val="clear" w:color="auto" w:fill="auto"/>
          </w:tcPr>
          <w:p w14:paraId="49E10A91" w14:textId="1030CB98" w:rsidR="005D4C72" w:rsidRPr="0043390B" w:rsidRDefault="00E13FFD" w:rsidP="006E5A4C">
            <w:pPr>
              <w:rPr>
                <w:rFonts w:cstheme="minorHAnsi"/>
                <w:b/>
                <w:bCs/>
              </w:rPr>
            </w:pPr>
            <w:r w:rsidRPr="0043390B">
              <w:rPr>
                <w:rFonts w:cstheme="minorHAnsi"/>
                <w:b/>
                <w:bCs/>
              </w:rPr>
              <w:t>8</w:t>
            </w:r>
            <w:r w:rsidR="00626B63" w:rsidRPr="0043390B">
              <w:rPr>
                <w:rFonts w:cstheme="minorHAnsi"/>
                <w:b/>
                <w:bCs/>
              </w:rPr>
              <w:t xml:space="preserve">.1 Environmental, Social and Governance (ESG) Impact </w:t>
            </w:r>
          </w:p>
        </w:tc>
        <w:tc>
          <w:tcPr>
            <w:tcW w:w="6724" w:type="dxa"/>
            <w:tcBorders>
              <w:left w:val="single" w:sz="4" w:space="0" w:color="auto"/>
            </w:tcBorders>
            <w:shd w:val="clear" w:color="auto" w:fill="auto"/>
          </w:tcPr>
          <w:p w14:paraId="2E2C7EA0" w14:textId="364A72EB" w:rsidR="00626B63" w:rsidRPr="0043390B" w:rsidRDefault="00626B63" w:rsidP="00626B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3390B">
              <w:rPr>
                <w:rFonts w:cstheme="minorHAnsi"/>
              </w:rPr>
              <w:t>ESG Risks</w:t>
            </w:r>
          </w:p>
          <w:p w14:paraId="6F9EF56A" w14:textId="77777777" w:rsidR="00F35016" w:rsidRDefault="00F35016" w:rsidP="000B68AF">
            <w:pPr>
              <w:spacing w:after="0" w:line="240" w:lineRule="auto"/>
              <w:rPr>
                <w:rFonts w:cstheme="minorHAnsi"/>
              </w:rPr>
            </w:pPr>
          </w:p>
          <w:p w14:paraId="44ADB890" w14:textId="2D472989" w:rsidR="00F35016" w:rsidRDefault="00F35016" w:rsidP="00626B63">
            <w:pPr>
              <w:spacing w:after="0" w:line="240" w:lineRule="auto"/>
              <w:ind w:left="360"/>
              <w:rPr>
                <w:rFonts w:cstheme="minorHAnsi"/>
              </w:rPr>
            </w:pPr>
            <w:r w:rsidRPr="00F35016">
              <w:rPr>
                <w:rFonts w:cstheme="minorHAnsi"/>
              </w:rPr>
              <w:t>Resource Sourcing, Use, and Disposal</w:t>
            </w:r>
            <w:r>
              <w:rPr>
                <w:rFonts w:cstheme="minorHAnsi"/>
              </w:rPr>
              <w:t xml:space="preserve"> – the blood extraction kits are a consumable, meaning there’s potential for waste from sourcing and disposal</w:t>
            </w:r>
          </w:p>
          <w:p w14:paraId="4DB468DA" w14:textId="77777777" w:rsidR="00F35016" w:rsidRDefault="00F35016" w:rsidP="00626B63">
            <w:pPr>
              <w:spacing w:after="0" w:line="240" w:lineRule="auto"/>
              <w:ind w:left="360"/>
              <w:rPr>
                <w:rFonts w:cstheme="minorHAnsi"/>
              </w:rPr>
            </w:pPr>
          </w:p>
          <w:p w14:paraId="0809CD0F" w14:textId="3E69E125" w:rsidR="00F35016" w:rsidRDefault="00F35016" w:rsidP="00626B63">
            <w:pPr>
              <w:spacing w:after="0" w:line="240" w:lineRule="auto"/>
              <w:ind w:left="360"/>
              <w:rPr>
                <w:rFonts w:cstheme="minorHAnsi"/>
              </w:rPr>
            </w:pPr>
            <w:r w:rsidRPr="00F35016">
              <w:rPr>
                <w:rFonts w:cstheme="minorHAnsi"/>
              </w:rPr>
              <w:t>Hazardous Materials</w:t>
            </w:r>
            <w:r>
              <w:rPr>
                <w:rFonts w:cstheme="minorHAnsi"/>
              </w:rPr>
              <w:t xml:space="preserve"> – Hazardous waste is of minimal risk, as the only potential hazardous material is blood, which poses a low risk</w:t>
            </w:r>
          </w:p>
          <w:p w14:paraId="57B0EBE7" w14:textId="77777777" w:rsidR="00F35016" w:rsidRDefault="00F35016" w:rsidP="00626B63">
            <w:pPr>
              <w:spacing w:after="0" w:line="240" w:lineRule="auto"/>
              <w:ind w:left="360"/>
              <w:rPr>
                <w:rFonts w:cstheme="minorHAnsi"/>
              </w:rPr>
            </w:pPr>
          </w:p>
          <w:p w14:paraId="0DE1F0C2" w14:textId="59E9BE8F" w:rsidR="00F35016" w:rsidRDefault="00F35016" w:rsidP="00F35016">
            <w:pPr>
              <w:spacing w:after="0" w:line="240" w:lineRule="auto"/>
              <w:ind w:left="360"/>
              <w:rPr>
                <w:rFonts w:cstheme="minorHAnsi"/>
              </w:rPr>
            </w:pPr>
            <w:r w:rsidRPr="00F35016">
              <w:rPr>
                <w:rFonts w:cstheme="minorHAnsi"/>
              </w:rPr>
              <w:t>Transparency, Accountability, and Best Practice</w:t>
            </w:r>
            <w:r>
              <w:rPr>
                <w:rFonts w:cstheme="minorHAnsi"/>
              </w:rPr>
              <w:t xml:space="preserve"> </w:t>
            </w:r>
            <w:r w:rsidR="00B37DB7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B37DB7">
              <w:rPr>
                <w:rFonts w:cstheme="minorHAnsi"/>
              </w:rPr>
              <w:t xml:space="preserve">very low risk, as </w:t>
            </w:r>
            <w:proofErr w:type="spellStart"/>
            <w:r w:rsidR="00B37DB7">
              <w:rPr>
                <w:rFonts w:cstheme="minorHAnsi"/>
              </w:rPr>
              <w:t>Revvity</w:t>
            </w:r>
            <w:proofErr w:type="spellEnd"/>
            <w:r w:rsidR="00B37DB7">
              <w:rPr>
                <w:rFonts w:cstheme="minorHAnsi"/>
              </w:rPr>
              <w:t xml:space="preserve"> have a peer percentile average of 71 to 90, and a Dun and Bradstreet governance score of 1. More information can be requested through provision of the </w:t>
            </w:r>
            <w:proofErr w:type="gramStart"/>
            <w:r w:rsidR="00B37DB7">
              <w:rPr>
                <w:rFonts w:cstheme="minorHAnsi"/>
              </w:rPr>
              <w:t>aforementioned Dun</w:t>
            </w:r>
            <w:proofErr w:type="gramEnd"/>
            <w:r w:rsidR="00B37DB7">
              <w:rPr>
                <w:rFonts w:cstheme="minorHAnsi"/>
              </w:rPr>
              <w:t xml:space="preserve"> and Bradstreet report</w:t>
            </w:r>
          </w:p>
          <w:p w14:paraId="124377D6" w14:textId="77777777" w:rsidR="00B37DB7" w:rsidRPr="0043390B" w:rsidRDefault="00B37DB7" w:rsidP="00F35016">
            <w:pPr>
              <w:spacing w:after="0" w:line="240" w:lineRule="auto"/>
              <w:ind w:left="360"/>
              <w:rPr>
                <w:rFonts w:cstheme="minorHAnsi"/>
              </w:rPr>
            </w:pPr>
          </w:p>
          <w:p w14:paraId="113DB02D" w14:textId="77777777" w:rsidR="00626B63" w:rsidRPr="0043390B" w:rsidRDefault="00626B63" w:rsidP="00626B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3390B">
              <w:rPr>
                <w:rFonts w:cstheme="minorHAnsi"/>
              </w:rPr>
              <w:t>ESG Opportunity</w:t>
            </w:r>
          </w:p>
          <w:p w14:paraId="31ADB825" w14:textId="77777777" w:rsidR="00AB69B7" w:rsidRDefault="00AB69B7">
            <w:pPr>
              <w:spacing w:after="0" w:line="240" w:lineRule="auto"/>
              <w:ind w:left="360"/>
              <w:rPr>
                <w:rFonts w:cstheme="minorHAnsi"/>
              </w:rPr>
            </w:pPr>
          </w:p>
          <w:p w14:paraId="0E647647" w14:textId="35676064" w:rsidR="00B37DB7" w:rsidRDefault="00B37DB7">
            <w:pPr>
              <w:spacing w:after="0" w:line="240" w:lineRule="auto"/>
              <w:ind w:left="360"/>
              <w:rPr>
                <w:rFonts w:cstheme="minorHAnsi"/>
              </w:rPr>
            </w:pPr>
            <w:r w:rsidRPr="00F35016">
              <w:rPr>
                <w:rFonts w:cstheme="minorHAnsi"/>
              </w:rPr>
              <w:t>Resource Sourcing, Use, and Disposal</w:t>
            </w:r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Revvity</w:t>
            </w:r>
            <w:proofErr w:type="spellEnd"/>
            <w:r>
              <w:rPr>
                <w:rFonts w:cstheme="minorHAnsi"/>
              </w:rPr>
              <w:t xml:space="preserve"> adhere to the </w:t>
            </w:r>
            <w:r w:rsidRPr="00B37DB7">
              <w:rPr>
                <w:rFonts w:cstheme="minorHAnsi"/>
              </w:rPr>
              <w:t>Waste Electrical and Electronic Equipment (WEEE) Directive</w:t>
            </w:r>
            <w:r>
              <w:rPr>
                <w:rFonts w:cstheme="minorHAnsi"/>
              </w:rPr>
              <w:t>, meaning that they routinely recycle their own products at their end-of-life to minimise waste</w:t>
            </w:r>
          </w:p>
          <w:p w14:paraId="4C380731" w14:textId="77777777" w:rsidR="00B37DB7" w:rsidRDefault="00B37DB7">
            <w:pPr>
              <w:spacing w:after="0" w:line="240" w:lineRule="auto"/>
              <w:ind w:left="360"/>
              <w:rPr>
                <w:rFonts w:cstheme="minorHAnsi"/>
              </w:rPr>
            </w:pPr>
          </w:p>
          <w:p w14:paraId="5EE6D161" w14:textId="32EC7C40" w:rsidR="00B37DB7" w:rsidRDefault="00B37DB7">
            <w:pPr>
              <w:spacing w:after="0" w:line="240" w:lineRule="auto"/>
              <w:ind w:left="360"/>
              <w:rPr>
                <w:rFonts w:cstheme="minorHAnsi"/>
              </w:rPr>
            </w:pPr>
            <w:r w:rsidRPr="00F35016">
              <w:rPr>
                <w:rFonts w:cstheme="minorHAnsi"/>
              </w:rPr>
              <w:t>Hazardous Materials</w:t>
            </w:r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Revvity</w:t>
            </w:r>
            <w:proofErr w:type="spellEnd"/>
            <w:r>
              <w:rPr>
                <w:rFonts w:cstheme="minorHAnsi"/>
              </w:rPr>
              <w:t xml:space="preserve"> adhere to the </w:t>
            </w:r>
            <w:r w:rsidRPr="00B37DB7">
              <w:rPr>
                <w:rFonts w:cstheme="minorHAnsi"/>
              </w:rPr>
              <w:t>directives on Restriction of the Use of Certain Hazardous Substances in Electrical and Electronic equipment (RoHS) and Waste Electrical and Electronic Equipment (WEEE)</w:t>
            </w:r>
            <w:r>
              <w:rPr>
                <w:rFonts w:cstheme="minorHAnsi"/>
              </w:rPr>
              <w:t>, minimising the already low risk</w:t>
            </w:r>
          </w:p>
          <w:p w14:paraId="6CA55C49" w14:textId="77777777" w:rsidR="00B37DB7" w:rsidRPr="0043390B" w:rsidRDefault="00B37DB7">
            <w:pPr>
              <w:spacing w:after="0" w:line="240" w:lineRule="auto"/>
              <w:ind w:left="360"/>
              <w:rPr>
                <w:rFonts w:cstheme="minorHAnsi"/>
              </w:rPr>
            </w:pPr>
          </w:p>
          <w:p w14:paraId="1F68174D" w14:textId="77777777" w:rsidR="00AB69B7" w:rsidRPr="0043390B" w:rsidRDefault="00AB69B7" w:rsidP="00AB69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43390B">
              <w:rPr>
                <w:rFonts w:cstheme="minorHAnsi"/>
              </w:rPr>
              <w:t>Whole Life Costing</w:t>
            </w:r>
          </w:p>
          <w:p w14:paraId="59AE6E13" w14:textId="77777777" w:rsidR="00B37DB7" w:rsidRDefault="00B37DB7" w:rsidP="000B68AF">
            <w:pPr>
              <w:spacing w:after="0" w:line="240" w:lineRule="auto"/>
              <w:rPr>
                <w:rFonts w:cstheme="minorHAnsi"/>
              </w:rPr>
            </w:pPr>
          </w:p>
          <w:p w14:paraId="7FEE52F0" w14:textId="77777777" w:rsidR="00B37DB7" w:rsidRDefault="00B37DB7" w:rsidP="008D2EE2">
            <w:pPr>
              <w:spacing w:after="0"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The product is a consumable, but the company has a local branch in Llantrisant that can deliver, minimising risk and cost of any delivery requirements.</w:t>
            </w:r>
          </w:p>
          <w:p w14:paraId="50386D88" w14:textId="77777777" w:rsidR="00B37DB7" w:rsidRDefault="00B37DB7" w:rsidP="008D2EE2">
            <w:pPr>
              <w:spacing w:after="0" w:line="240" w:lineRule="auto"/>
              <w:ind w:left="360"/>
              <w:rPr>
                <w:rFonts w:cstheme="minorHAnsi"/>
              </w:rPr>
            </w:pPr>
          </w:p>
          <w:p w14:paraId="4471B2A6" w14:textId="77777777" w:rsidR="00B37DB7" w:rsidRDefault="00B37DB7" w:rsidP="008D2EE2">
            <w:pPr>
              <w:spacing w:after="0"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Disposal is handled by </w:t>
            </w:r>
            <w:proofErr w:type="spellStart"/>
            <w:r>
              <w:rPr>
                <w:rFonts w:cstheme="minorHAnsi"/>
              </w:rPr>
              <w:t>Revvity</w:t>
            </w:r>
            <w:proofErr w:type="spellEnd"/>
            <w:r>
              <w:rPr>
                <w:rFonts w:cstheme="minorHAnsi"/>
              </w:rPr>
              <w:t xml:space="preserve"> upon the delivery of the goods to </w:t>
            </w:r>
            <w:proofErr w:type="spellStart"/>
            <w:r>
              <w:rPr>
                <w:rFonts w:cstheme="minorHAnsi"/>
              </w:rPr>
              <w:t>Revvity</w:t>
            </w:r>
            <w:proofErr w:type="spellEnd"/>
            <w:r>
              <w:rPr>
                <w:rFonts w:cstheme="minorHAnsi"/>
              </w:rPr>
              <w:t xml:space="preserve"> by the buyer. They handle the disposal and/or recycling/repurposing of </w:t>
            </w:r>
            <w:r w:rsidR="000B68AF">
              <w:rPr>
                <w:rFonts w:cstheme="minorHAnsi"/>
              </w:rPr>
              <w:t>consumable and non-consumable goods.</w:t>
            </w:r>
          </w:p>
          <w:p w14:paraId="0A7F6EBC" w14:textId="77777777" w:rsidR="000B68AF" w:rsidRDefault="000B68AF" w:rsidP="008D2EE2">
            <w:pPr>
              <w:spacing w:after="0" w:line="240" w:lineRule="auto"/>
              <w:ind w:left="360"/>
              <w:rPr>
                <w:rFonts w:cstheme="minorHAnsi"/>
              </w:rPr>
            </w:pPr>
          </w:p>
          <w:p w14:paraId="30CEEDCD" w14:textId="5AC3AEC8" w:rsidR="000B68AF" w:rsidRPr="0043390B" w:rsidRDefault="000B68AF" w:rsidP="008D2EE2">
            <w:pPr>
              <w:spacing w:after="0"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Any servicing it out of scope of this contract, as the contract only covers the consumables (blood extraction kits).</w:t>
            </w:r>
          </w:p>
        </w:tc>
      </w:tr>
      <w:tr w:rsidR="00626B63" w:rsidRPr="00941E64" w14:paraId="6FFBA106" w14:textId="77777777" w:rsidTr="000B68AF">
        <w:trPr>
          <w:trHeight w:val="547"/>
        </w:trPr>
        <w:tc>
          <w:tcPr>
            <w:tcW w:w="3132" w:type="dxa"/>
            <w:tcBorders>
              <w:left w:val="single" w:sz="4" w:space="0" w:color="auto"/>
            </w:tcBorders>
            <w:shd w:val="clear" w:color="auto" w:fill="auto"/>
          </w:tcPr>
          <w:p w14:paraId="27745246" w14:textId="515D2C64" w:rsidR="00626B63" w:rsidRPr="00941E64" w:rsidRDefault="00E13FFD" w:rsidP="006E5A4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626B63" w:rsidRPr="00941E64">
              <w:rPr>
                <w:rFonts w:cstheme="minorHAnsi"/>
                <w:b/>
                <w:bCs/>
              </w:rPr>
              <w:t>.</w:t>
            </w:r>
            <w:r w:rsidR="00626B63">
              <w:rPr>
                <w:rFonts w:cstheme="minorHAnsi"/>
                <w:b/>
                <w:bCs/>
              </w:rPr>
              <w:t>2</w:t>
            </w:r>
            <w:r w:rsidR="00626B63" w:rsidRPr="00941E64">
              <w:rPr>
                <w:rFonts w:cstheme="minorHAnsi"/>
                <w:b/>
                <w:bCs/>
              </w:rPr>
              <w:t xml:space="preserve"> Comparison to budget  </w:t>
            </w:r>
          </w:p>
        </w:tc>
        <w:tc>
          <w:tcPr>
            <w:tcW w:w="6724" w:type="dxa"/>
            <w:tcBorders>
              <w:left w:val="single" w:sz="4" w:space="0" w:color="auto"/>
            </w:tcBorders>
            <w:shd w:val="clear" w:color="auto" w:fill="auto"/>
          </w:tcPr>
          <w:p w14:paraId="6AC9ED93" w14:textId="4C54A06B" w:rsidR="00626B63" w:rsidRPr="00941E64" w:rsidRDefault="00626B63" w:rsidP="00626B63">
            <w:pPr>
              <w:rPr>
                <w:rFonts w:cstheme="minorHAnsi"/>
              </w:rPr>
            </w:pPr>
            <w:r w:rsidRPr="00941E64">
              <w:rPr>
                <w:rFonts w:cstheme="minorHAnsi"/>
              </w:rPr>
              <w:t xml:space="preserve">Budget </w:t>
            </w:r>
            <w:r>
              <w:rPr>
                <w:rFonts w:cstheme="minorHAnsi"/>
              </w:rPr>
              <w:t>–</w:t>
            </w:r>
            <w:r w:rsidRPr="00941E64">
              <w:rPr>
                <w:rFonts w:cstheme="minorHAnsi"/>
              </w:rPr>
              <w:t xml:space="preserve"> </w:t>
            </w:r>
            <w:r w:rsidR="000B68AF" w:rsidRPr="005A6C60">
              <w:rPr>
                <w:rFonts w:cstheme="minorHAnsi"/>
                <w:bCs/>
              </w:rPr>
              <w:t>£</w:t>
            </w:r>
            <w:r w:rsidR="000B68AF" w:rsidRPr="00821E83">
              <w:rPr>
                <w:rFonts w:cstheme="minorHAnsi"/>
                <w:bCs/>
              </w:rPr>
              <w:t>36,736.8</w:t>
            </w:r>
          </w:p>
          <w:p w14:paraId="34851176" w14:textId="236E3382" w:rsidR="00626B63" w:rsidRPr="000B68AF" w:rsidRDefault="00626B63" w:rsidP="000B68AF">
            <w:pPr>
              <w:spacing w:afterLines="20" w:after="48" w:line="240" w:lineRule="auto"/>
              <w:rPr>
                <w:rFonts w:cstheme="minorHAnsi"/>
                <w:bCs/>
              </w:rPr>
            </w:pPr>
            <w:r w:rsidRPr="00941E64">
              <w:rPr>
                <w:rFonts w:cstheme="minorHAnsi"/>
              </w:rPr>
              <w:t xml:space="preserve">Price of preferred bid </w:t>
            </w:r>
            <w:r>
              <w:rPr>
                <w:rFonts w:cstheme="minorHAnsi"/>
              </w:rPr>
              <w:t>–</w:t>
            </w:r>
            <w:r w:rsidRPr="00941E64">
              <w:rPr>
                <w:rFonts w:cstheme="minorHAnsi"/>
              </w:rPr>
              <w:t xml:space="preserve"> </w:t>
            </w:r>
            <w:r w:rsidR="000B68AF" w:rsidRPr="005A6C60">
              <w:rPr>
                <w:rFonts w:cstheme="minorHAnsi"/>
                <w:bCs/>
              </w:rPr>
              <w:t>£</w:t>
            </w:r>
            <w:r w:rsidR="000B68AF" w:rsidRPr="00A848D7">
              <w:rPr>
                <w:rFonts w:cstheme="minorHAnsi"/>
                <w:bCs/>
              </w:rPr>
              <w:t xml:space="preserve">30,614 </w:t>
            </w:r>
            <w:proofErr w:type="spellStart"/>
            <w:r w:rsidR="000B68AF" w:rsidRPr="005A6C60">
              <w:rPr>
                <w:rFonts w:cstheme="minorHAnsi"/>
                <w:bCs/>
              </w:rPr>
              <w:t>exc</w:t>
            </w:r>
            <w:proofErr w:type="spellEnd"/>
            <w:r w:rsidR="000B68AF" w:rsidRPr="005A6C60">
              <w:rPr>
                <w:rFonts w:cstheme="minorHAnsi"/>
                <w:bCs/>
              </w:rPr>
              <w:t xml:space="preserve"> VAT</w:t>
            </w:r>
            <w:r w:rsidR="000B68AF">
              <w:rPr>
                <w:rFonts w:cstheme="minorHAnsi"/>
                <w:bCs/>
              </w:rPr>
              <w:t xml:space="preserve"> </w:t>
            </w:r>
          </w:p>
        </w:tc>
      </w:tr>
      <w:tr w:rsidR="005D4C72" w:rsidRPr="00941E64" w14:paraId="4F0FC99E" w14:textId="77777777" w:rsidTr="000B68AF">
        <w:trPr>
          <w:trHeight w:val="547"/>
        </w:trPr>
        <w:tc>
          <w:tcPr>
            <w:tcW w:w="3132" w:type="dxa"/>
            <w:tcBorders>
              <w:left w:val="single" w:sz="4" w:space="0" w:color="auto"/>
            </w:tcBorders>
            <w:shd w:val="clear" w:color="auto" w:fill="auto"/>
          </w:tcPr>
          <w:p w14:paraId="5B747475" w14:textId="50D3BF83" w:rsidR="005D4C72" w:rsidRPr="00941E64" w:rsidRDefault="00E13FFD" w:rsidP="006E5A4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5D4C72" w:rsidRPr="00941E64">
              <w:rPr>
                <w:rFonts w:cstheme="minorHAnsi"/>
                <w:b/>
                <w:bCs/>
              </w:rPr>
              <w:t>.</w:t>
            </w:r>
            <w:r w:rsidR="00626B63">
              <w:rPr>
                <w:rFonts w:cstheme="minorHAnsi"/>
                <w:b/>
                <w:bCs/>
              </w:rPr>
              <w:t>3</w:t>
            </w:r>
            <w:r w:rsidR="005D4C72" w:rsidRPr="00941E64">
              <w:rPr>
                <w:rFonts w:cstheme="minorHAnsi"/>
                <w:b/>
                <w:bCs/>
              </w:rPr>
              <w:t xml:space="preserve"> Secured Saving (ex VAT) &amp; Savings Category (as per savings methodology)</w:t>
            </w:r>
          </w:p>
        </w:tc>
        <w:tc>
          <w:tcPr>
            <w:tcW w:w="6724" w:type="dxa"/>
            <w:tcBorders>
              <w:left w:val="single" w:sz="4" w:space="0" w:color="auto"/>
            </w:tcBorders>
            <w:shd w:val="clear" w:color="auto" w:fill="auto"/>
          </w:tcPr>
          <w:p w14:paraId="1DA49C60" w14:textId="44325CD6" w:rsidR="005D4C72" w:rsidRPr="00941E64" w:rsidRDefault="000B68AF" w:rsidP="006E5A4C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9739BE" w:rsidRPr="00941E64" w14:paraId="36D9C55F" w14:textId="77777777" w:rsidTr="000B68AF">
        <w:trPr>
          <w:trHeight w:val="547"/>
        </w:trPr>
        <w:tc>
          <w:tcPr>
            <w:tcW w:w="3132" w:type="dxa"/>
            <w:tcBorders>
              <w:left w:val="single" w:sz="4" w:space="0" w:color="auto"/>
            </w:tcBorders>
            <w:shd w:val="clear" w:color="auto" w:fill="auto"/>
          </w:tcPr>
          <w:p w14:paraId="778EEF49" w14:textId="149360F6" w:rsidR="009739BE" w:rsidRDefault="009739BE" w:rsidP="009739B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8.4 Saving calculation</w:t>
            </w:r>
          </w:p>
        </w:tc>
        <w:tc>
          <w:tcPr>
            <w:tcW w:w="6724" w:type="dxa"/>
            <w:tcBorders>
              <w:left w:val="single" w:sz="4" w:space="0" w:color="auto"/>
            </w:tcBorders>
            <w:shd w:val="clear" w:color="auto" w:fill="auto"/>
          </w:tcPr>
          <w:p w14:paraId="417EC1B3" w14:textId="6A9BECD3" w:rsidR="009739BE" w:rsidRPr="00941E64" w:rsidRDefault="000B68AF" w:rsidP="009739BE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5D4C72" w:rsidRPr="00941E64" w14:paraId="596ABB06" w14:textId="77777777" w:rsidTr="000B68AF">
        <w:trPr>
          <w:trHeight w:val="547"/>
        </w:trPr>
        <w:tc>
          <w:tcPr>
            <w:tcW w:w="3132" w:type="dxa"/>
            <w:tcBorders>
              <w:left w:val="single" w:sz="4" w:space="0" w:color="auto"/>
            </w:tcBorders>
            <w:shd w:val="clear" w:color="auto" w:fill="auto"/>
          </w:tcPr>
          <w:p w14:paraId="2BB69BD3" w14:textId="4AFE20BD" w:rsidR="005D4C72" w:rsidRPr="00941E64" w:rsidRDefault="00E13FFD" w:rsidP="006E5A4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5D4C72" w:rsidRPr="00941E64">
              <w:rPr>
                <w:rFonts w:cstheme="minorHAnsi"/>
                <w:b/>
                <w:bCs/>
              </w:rPr>
              <w:t>.</w:t>
            </w:r>
            <w:r w:rsidR="009739BE">
              <w:rPr>
                <w:rFonts w:cstheme="minorHAnsi"/>
                <w:b/>
                <w:bCs/>
              </w:rPr>
              <w:t>5</w:t>
            </w:r>
            <w:r w:rsidR="005D4C72" w:rsidRPr="00941E64">
              <w:rPr>
                <w:rFonts w:cstheme="minorHAnsi"/>
                <w:b/>
                <w:bCs/>
              </w:rPr>
              <w:t xml:space="preserve"> Additional Points to note </w:t>
            </w:r>
          </w:p>
        </w:tc>
        <w:tc>
          <w:tcPr>
            <w:tcW w:w="6724" w:type="dxa"/>
            <w:tcBorders>
              <w:left w:val="single" w:sz="4" w:space="0" w:color="auto"/>
            </w:tcBorders>
            <w:shd w:val="clear" w:color="auto" w:fill="auto"/>
          </w:tcPr>
          <w:p w14:paraId="1784B6EF" w14:textId="1688326B" w:rsidR="005D4C72" w:rsidRPr="00941E64" w:rsidRDefault="009A1B71" w:rsidP="006E5A4C">
            <w:pPr>
              <w:pStyle w:val="Style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N/A</w:t>
            </w:r>
          </w:p>
        </w:tc>
      </w:tr>
    </w:tbl>
    <w:p w14:paraId="6D73D26D" w14:textId="77777777" w:rsidR="005D4C72" w:rsidRDefault="005D4C72" w:rsidP="0060408C">
      <w:pPr>
        <w:spacing w:after="0" w:line="240" w:lineRule="auto"/>
        <w:jc w:val="both"/>
        <w:rPr>
          <w:rFonts w:cstheme="minorHAnsi"/>
        </w:rPr>
      </w:pPr>
    </w:p>
    <w:tbl>
      <w:tblPr>
        <w:tblW w:w="4972" w:type="pct"/>
        <w:tblInd w:w="-5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295055" w:rsidRPr="00941E64" w14:paraId="5FFE5802" w14:textId="77777777" w:rsidTr="00295055">
        <w:trPr>
          <w:trHeight w:val="340"/>
        </w:trPr>
        <w:tc>
          <w:tcPr>
            <w:tcW w:w="9857" w:type="dxa"/>
            <w:tcBorders>
              <w:left w:val="single" w:sz="4" w:space="0" w:color="auto"/>
            </w:tcBorders>
            <w:shd w:val="clear" w:color="auto" w:fill="D3374A"/>
            <w:vAlign w:val="center"/>
          </w:tcPr>
          <w:p w14:paraId="6420F906" w14:textId="77777777" w:rsidR="00295055" w:rsidRPr="00941E64" w:rsidRDefault="00295055" w:rsidP="004F123B">
            <w:pPr>
              <w:rPr>
                <w:rFonts w:cstheme="minorHAnsi"/>
                <w:b/>
                <w:bCs/>
              </w:rPr>
            </w:pPr>
            <w:r w:rsidRPr="00336FFD">
              <w:rPr>
                <w:rFonts w:cstheme="minorHAnsi"/>
                <w:b/>
                <w:bCs/>
                <w:color w:val="FFFFFF" w:themeColor="background1"/>
              </w:rPr>
              <w:t>Savings Approval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83"/>
        <w:gridCol w:w="2478"/>
        <w:gridCol w:w="3261"/>
        <w:gridCol w:w="1695"/>
      </w:tblGrid>
      <w:tr w:rsidR="00295055" w:rsidRPr="00941E64" w14:paraId="4B94C3F1" w14:textId="77777777" w:rsidTr="00295055">
        <w:tc>
          <w:tcPr>
            <w:tcW w:w="2483" w:type="dxa"/>
            <w:shd w:val="clear" w:color="auto" w:fill="D9D9D9" w:themeFill="background1" w:themeFillShade="D9"/>
          </w:tcPr>
          <w:p w14:paraId="3B833618" w14:textId="77777777" w:rsidR="00295055" w:rsidRPr="00941E64" w:rsidRDefault="00295055" w:rsidP="004F12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1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478" w:type="dxa"/>
            <w:shd w:val="clear" w:color="auto" w:fill="D9D9D9" w:themeFill="background1" w:themeFillShade="D9"/>
          </w:tcPr>
          <w:p w14:paraId="33BF09BE" w14:textId="77777777" w:rsidR="00295055" w:rsidRPr="00941E64" w:rsidRDefault="00295055" w:rsidP="004F12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1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2E57B64" w14:textId="77777777" w:rsidR="00295055" w:rsidRPr="00941E64" w:rsidRDefault="00295055" w:rsidP="004F12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1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Authorisation received </w:t>
            </w:r>
            <w:r w:rsidRPr="00941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78BB7C19" w14:textId="77777777" w:rsidR="00295055" w:rsidRPr="00941E64" w:rsidRDefault="00295055" w:rsidP="004F12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1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</w:tr>
      <w:tr w:rsidR="00295055" w:rsidRPr="00941E64" w14:paraId="1F7EFE20" w14:textId="77777777" w:rsidTr="00295055">
        <w:tc>
          <w:tcPr>
            <w:tcW w:w="2483" w:type="dxa"/>
            <w:shd w:val="clear" w:color="auto" w:fill="auto"/>
          </w:tcPr>
          <w:p w14:paraId="252DCDF1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1E64">
              <w:rPr>
                <w:rFonts w:asciiTheme="minorHAnsi" w:hAnsiTheme="minorHAnsi" w:cstheme="minorHAnsi"/>
                <w:sz w:val="22"/>
                <w:szCs w:val="22"/>
              </w:rPr>
              <w:t>Evaluator / Customer Lead</w:t>
            </w:r>
          </w:p>
        </w:tc>
        <w:tc>
          <w:tcPr>
            <w:tcW w:w="2478" w:type="dxa"/>
            <w:shd w:val="clear" w:color="auto" w:fill="auto"/>
          </w:tcPr>
          <w:p w14:paraId="694264C6" w14:textId="228EE523" w:rsidR="00295055" w:rsidRPr="00941E64" w:rsidRDefault="00730C1E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3261" w:type="dxa"/>
            <w:shd w:val="clear" w:color="auto" w:fill="auto"/>
          </w:tcPr>
          <w:p w14:paraId="3320F20C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11F28257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5055" w:rsidRPr="00941E64" w14:paraId="1E2CB0BB" w14:textId="77777777" w:rsidTr="00295055">
        <w:tc>
          <w:tcPr>
            <w:tcW w:w="2483" w:type="dxa"/>
          </w:tcPr>
          <w:p w14:paraId="65E7E624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1E64">
              <w:rPr>
                <w:rFonts w:asciiTheme="minorHAnsi" w:hAnsiTheme="minorHAnsi" w:cstheme="minorHAnsi"/>
                <w:sz w:val="22"/>
                <w:szCs w:val="22"/>
              </w:rPr>
              <w:t>Financial Approver</w:t>
            </w:r>
          </w:p>
        </w:tc>
        <w:tc>
          <w:tcPr>
            <w:tcW w:w="2478" w:type="dxa"/>
          </w:tcPr>
          <w:p w14:paraId="0C74EF17" w14:textId="56F4CD45" w:rsidR="00295055" w:rsidRPr="00941E64" w:rsidRDefault="00730C1E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7D04EA11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0948E87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5055" w:rsidRPr="00941E64" w14:paraId="30F899F0" w14:textId="77777777" w:rsidTr="00295055">
        <w:tc>
          <w:tcPr>
            <w:tcW w:w="2483" w:type="dxa"/>
          </w:tcPr>
          <w:p w14:paraId="3384A7B0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1E64">
              <w:rPr>
                <w:rFonts w:asciiTheme="minorHAnsi" w:hAnsiTheme="minorHAnsi" w:cstheme="minorHAnsi"/>
                <w:sz w:val="22"/>
                <w:szCs w:val="22"/>
              </w:rPr>
              <w:t>Head of School/ Department</w:t>
            </w:r>
          </w:p>
        </w:tc>
        <w:tc>
          <w:tcPr>
            <w:tcW w:w="2478" w:type="dxa"/>
          </w:tcPr>
          <w:p w14:paraId="0321D5CB" w14:textId="64DC2788" w:rsidR="00295055" w:rsidRPr="00941E64" w:rsidRDefault="00730C1E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441391D4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3DCE5DFD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5055" w:rsidRPr="00941E64" w14:paraId="6BA14249" w14:textId="77777777" w:rsidTr="00295055">
        <w:tc>
          <w:tcPr>
            <w:tcW w:w="2483" w:type="dxa"/>
          </w:tcPr>
          <w:p w14:paraId="4C365CA9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Category Manager </w:t>
            </w:r>
          </w:p>
        </w:tc>
        <w:tc>
          <w:tcPr>
            <w:tcW w:w="2478" w:type="dxa"/>
          </w:tcPr>
          <w:p w14:paraId="5C8D9C61" w14:textId="72369E4D" w:rsidR="00295055" w:rsidRPr="00941E64" w:rsidRDefault="00730C1E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3FB51F0A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2748865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5055" w:rsidRPr="00941E64" w14:paraId="28C8C6DF" w14:textId="77777777" w:rsidTr="00295055">
        <w:tc>
          <w:tcPr>
            <w:tcW w:w="2483" w:type="dxa"/>
          </w:tcPr>
          <w:p w14:paraId="2478E22F" w14:textId="77777777" w:rsidR="00295055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Senior Category Manager (approval of savings up to £500k)</w:t>
            </w:r>
          </w:p>
        </w:tc>
        <w:tc>
          <w:tcPr>
            <w:tcW w:w="2478" w:type="dxa"/>
          </w:tcPr>
          <w:p w14:paraId="4C89DBB2" w14:textId="7E9FF8C4" w:rsidR="00295055" w:rsidRPr="00941E64" w:rsidRDefault="00730C1E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5FBE2576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CB00BFE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5055" w:rsidRPr="00941E64" w14:paraId="3AB5A09C" w14:textId="77777777" w:rsidTr="00295055">
        <w:tc>
          <w:tcPr>
            <w:tcW w:w="2483" w:type="dxa"/>
          </w:tcPr>
          <w:p w14:paraId="39822A4F" w14:textId="77777777" w:rsidR="00295055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Director of Procurement (approval of savings over £500k)</w:t>
            </w:r>
          </w:p>
        </w:tc>
        <w:tc>
          <w:tcPr>
            <w:tcW w:w="2478" w:type="dxa"/>
          </w:tcPr>
          <w:p w14:paraId="519DF59C" w14:textId="392AA8AD" w:rsidR="00295055" w:rsidRPr="00941E64" w:rsidRDefault="00730C1E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33E44481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724D2BE" w14:textId="77777777" w:rsidR="00295055" w:rsidRPr="00941E64" w:rsidRDefault="00295055" w:rsidP="004F12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DA84AF" w14:textId="77777777" w:rsidR="00295055" w:rsidRDefault="00295055" w:rsidP="0060408C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B8331F" w:rsidRPr="005A6C60" w14:paraId="1B6611FD" w14:textId="77777777" w:rsidTr="00B8331F">
        <w:tc>
          <w:tcPr>
            <w:tcW w:w="9912" w:type="dxa"/>
            <w:shd w:val="clear" w:color="auto" w:fill="D3374A"/>
          </w:tcPr>
          <w:p w14:paraId="0EEFAA54" w14:textId="56230F0C" w:rsidR="00B8331F" w:rsidRPr="005A6C60" w:rsidRDefault="00E13FFD" w:rsidP="004A60CA">
            <w:pPr>
              <w:spacing w:afterLines="5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9</w:t>
            </w:r>
            <w:r w:rsidR="00EB2ADB" w:rsidRPr="005A6C6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B8331F" w:rsidRPr="005A6C6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Summary Procurement Timetable</w:t>
            </w:r>
          </w:p>
        </w:tc>
      </w:tr>
    </w:tbl>
    <w:p w14:paraId="096C0E2F" w14:textId="77777777" w:rsidR="006D2F00" w:rsidRPr="005A6C60" w:rsidRDefault="006D2F00" w:rsidP="004A60CA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516"/>
        <w:gridCol w:w="3402"/>
      </w:tblGrid>
      <w:tr w:rsidR="009461F8" w:rsidRPr="005A6C60" w14:paraId="484BE899" w14:textId="77777777" w:rsidTr="009461F8">
        <w:tc>
          <w:tcPr>
            <w:tcW w:w="6516" w:type="dxa"/>
            <w:shd w:val="clear" w:color="auto" w:fill="D9D9D9" w:themeFill="background1" w:themeFillShade="D9"/>
          </w:tcPr>
          <w:p w14:paraId="17B4D2D0" w14:textId="4AFD5C00" w:rsidR="009461F8" w:rsidRPr="005A6C60" w:rsidRDefault="009461F8" w:rsidP="004A60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Stage of procurement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F0830FC" w14:textId="5F85ABAE" w:rsidR="009461F8" w:rsidRPr="005A6C60" w:rsidRDefault="009461F8" w:rsidP="004A60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Deadline Date/time</w:t>
            </w:r>
          </w:p>
        </w:tc>
      </w:tr>
      <w:tr w:rsidR="006E64E4" w:rsidRPr="005A6C60" w14:paraId="7A6B5436" w14:textId="77777777" w:rsidTr="009461F8">
        <w:tc>
          <w:tcPr>
            <w:tcW w:w="6516" w:type="dxa"/>
          </w:tcPr>
          <w:p w14:paraId="32C14E80" w14:textId="6010839D" w:rsidR="006E64E4" w:rsidRPr="00907156" w:rsidRDefault="006E64E4" w:rsidP="00946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156">
              <w:rPr>
                <w:rFonts w:asciiTheme="minorHAnsi" w:hAnsiTheme="minorHAnsi" w:cstheme="minorHAnsi"/>
                <w:sz w:val="22"/>
                <w:szCs w:val="22"/>
              </w:rPr>
              <w:t>Receipt of quotes from bidders</w:t>
            </w:r>
          </w:p>
        </w:tc>
        <w:tc>
          <w:tcPr>
            <w:tcW w:w="3402" w:type="dxa"/>
          </w:tcPr>
          <w:p w14:paraId="3CED65E8" w14:textId="7043BB40" w:rsidR="006E64E4" w:rsidRPr="009A1B71" w:rsidRDefault="009A1B71" w:rsidP="00946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9A1B71">
              <w:rPr>
                <w:rFonts w:asciiTheme="minorHAnsi" w:hAnsiTheme="minorHAnsi" w:cstheme="minorHAnsi"/>
                <w:sz w:val="22"/>
                <w:szCs w:val="22"/>
              </w:rPr>
              <w:t>omplete</w:t>
            </w:r>
          </w:p>
        </w:tc>
      </w:tr>
      <w:tr w:rsidR="009461F8" w:rsidRPr="005A6C60" w14:paraId="1112BE6B" w14:textId="77777777" w:rsidTr="009461F8">
        <w:tc>
          <w:tcPr>
            <w:tcW w:w="6516" w:type="dxa"/>
          </w:tcPr>
          <w:p w14:paraId="212FE0D2" w14:textId="439B4567" w:rsidR="009461F8" w:rsidRPr="006E64E4" w:rsidRDefault="009A1B71" w:rsidP="00946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Approval of DA</w:t>
            </w:r>
          </w:p>
        </w:tc>
        <w:tc>
          <w:tcPr>
            <w:tcW w:w="3402" w:type="dxa"/>
          </w:tcPr>
          <w:p w14:paraId="44D095E1" w14:textId="1938CCE9" w:rsidR="009461F8" w:rsidRPr="005A6C60" w:rsidRDefault="009A1B71" w:rsidP="00946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14/02/2025</w:t>
            </w:r>
          </w:p>
        </w:tc>
      </w:tr>
      <w:tr w:rsidR="00E56DD5" w:rsidRPr="005A6C60" w14:paraId="23836792" w14:textId="77777777" w:rsidTr="009461F8">
        <w:tc>
          <w:tcPr>
            <w:tcW w:w="6516" w:type="dxa"/>
          </w:tcPr>
          <w:p w14:paraId="3FF211BB" w14:textId="37788E38" w:rsidR="00E56DD5" w:rsidRPr="00E56DD5" w:rsidRDefault="009A1B71" w:rsidP="00946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Publishing of Award Notice</w:t>
            </w:r>
          </w:p>
        </w:tc>
        <w:tc>
          <w:tcPr>
            <w:tcW w:w="3402" w:type="dxa"/>
          </w:tcPr>
          <w:p w14:paraId="449F04AE" w14:textId="52D85C2D" w:rsidR="00E56DD5" w:rsidRPr="005A6C60" w:rsidRDefault="009A1B71" w:rsidP="009461F8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14/03/2025</w:t>
            </w:r>
          </w:p>
        </w:tc>
      </w:tr>
    </w:tbl>
    <w:p w14:paraId="6BEC7465" w14:textId="77777777" w:rsidR="00876490" w:rsidRPr="005A6C60" w:rsidRDefault="00876490" w:rsidP="00AA1F01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A1F01" w:rsidRPr="005A6C60" w14:paraId="70EA665D" w14:textId="77777777" w:rsidTr="002265F5">
        <w:tc>
          <w:tcPr>
            <w:tcW w:w="9912" w:type="dxa"/>
            <w:shd w:val="clear" w:color="auto" w:fill="D3374A"/>
          </w:tcPr>
          <w:p w14:paraId="09E352C1" w14:textId="4C15D140" w:rsidR="00AA1F01" w:rsidRPr="005A6C60" w:rsidRDefault="00E13FFD" w:rsidP="00D95507">
            <w:pPr>
              <w:tabs>
                <w:tab w:val="left" w:pos="8667"/>
              </w:tabs>
              <w:spacing w:afterLines="5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10</w:t>
            </w:r>
            <w:r w:rsidR="00AA1F01" w:rsidRPr="005A6C6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. Contract Implementation / Management</w:t>
            </w:r>
            <w:r w:rsidR="00D9550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ab/>
            </w:r>
          </w:p>
        </w:tc>
      </w:tr>
    </w:tbl>
    <w:p w14:paraId="6B65FD16" w14:textId="77777777" w:rsidR="00AA1F01" w:rsidRPr="005A6C60" w:rsidRDefault="00AA1F01" w:rsidP="00AA1F01">
      <w:pPr>
        <w:spacing w:after="0" w:line="240" w:lineRule="auto"/>
        <w:rPr>
          <w:rFonts w:cstheme="minorHAnsi"/>
        </w:rPr>
      </w:pPr>
    </w:p>
    <w:p w14:paraId="42AB2636" w14:textId="0C9FEA45" w:rsidR="00AA1F01" w:rsidRPr="005A6C60" w:rsidRDefault="00AA1F01" w:rsidP="00AA1F01">
      <w:pPr>
        <w:spacing w:after="0" w:line="240" w:lineRule="auto"/>
        <w:rPr>
          <w:rFonts w:cstheme="minorHAnsi"/>
        </w:rPr>
      </w:pPr>
      <w:r w:rsidRPr="005A6C60">
        <w:rPr>
          <w:rFonts w:cstheme="minorHAnsi"/>
          <w:b/>
          <w:bCs/>
        </w:rPr>
        <w:t xml:space="preserve">Exit Plan for existing Contract </w:t>
      </w:r>
      <w:r w:rsidR="000B68AF">
        <w:rPr>
          <w:rFonts w:cstheme="minorHAnsi"/>
          <w:b/>
          <w:bCs/>
        </w:rPr>
        <w:t>–</w:t>
      </w:r>
      <w:r w:rsidR="00666DA4" w:rsidRPr="005A6C60">
        <w:rPr>
          <w:rFonts w:cstheme="minorHAnsi"/>
          <w:b/>
          <w:bCs/>
        </w:rPr>
        <w:t xml:space="preserve"> </w:t>
      </w:r>
      <w:r w:rsidR="000B68AF">
        <w:rPr>
          <w:rFonts w:cstheme="minorHAnsi"/>
        </w:rPr>
        <w:t>no existing contract in place</w:t>
      </w:r>
    </w:p>
    <w:p w14:paraId="3AE5AAC7" w14:textId="77777777" w:rsidR="00AA1F01" w:rsidRPr="005A6C60" w:rsidRDefault="00AA1F01" w:rsidP="00AA1F01">
      <w:pPr>
        <w:spacing w:after="0" w:line="240" w:lineRule="auto"/>
        <w:rPr>
          <w:rFonts w:cstheme="minorHAnsi"/>
          <w:b/>
          <w:bCs/>
        </w:rPr>
      </w:pPr>
    </w:p>
    <w:p w14:paraId="17D560DF" w14:textId="74CC26FE" w:rsidR="00AA1F01" w:rsidRPr="005A6C60" w:rsidRDefault="00AA1F01" w:rsidP="00AA1F01">
      <w:pPr>
        <w:spacing w:after="0" w:line="240" w:lineRule="auto"/>
        <w:rPr>
          <w:rFonts w:cstheme="minorHAnsi"/>
        </w:rPr>
      </w:pPr>
      <w:r w:rsidRPr="005A6C60">
        <w:rPr>
          <w:rFonts w:cstheme="minorHAnsi"/>
          <w:b/>
          <w:bCs/>
        </w:rPr>
        <w:t>Transition to new supplier</w:t>
      </w:r>
      <w:r w:rsidRPr="005A6C60">
        <w:rPr>
          <w:rFonts w:cstheme="minorHAnsi"/>
        </w:rPr>
        <w:t xml:space="preserve"> </w:t>
      </w:r>
      <w:r w:rsidR="000B68AF">
        <w:rPr>
          <w:rFonts w:cstheme="minorHAnsi"/>
        </w:rPr>
        <w:t>–</w:t>
      </w:r>
      <w:r w:rsidRPr="005A6C60">
        <w:rPr>
          <w:rFonts w:cstheme="minorHAnsi"/>
        </w:rPr>
        <w:t xml:space="preserve"> </w:t>
      </w:r>
      <w:r w:rsidR="000B68AF">
        <w:rPr>
          <w:rFonts w:cstheme="minorHAnsi"/>
        </w:rPr>
        <w:t>this is a new purchase, there is no transition</w:t>
      </w:r>
    </w:p>
    <w:p w14:paraId="6FF216E9" w14:textId="77777777" w:rsidR="00AA1F01" w:rsidRPr="005A6C60" w:rsidRDefault="00AA1F01" w:rsidP="00AA1F01">
      <w:pPr>
        <w:spacing w:after="0" w:line="240" w:lineRule="auto"/>
        <w:rPr>
          <w:rFonts w:cstheme="minorHAnsi"/>
        </w:rPr>
      </w:pPr>
    </w:p>
    <w:p w14:paraId="3565E8EC" w14:textId="623535BF" w:rsidR="00AA1F01" w:rsidRDefault="00AA1F01" w:rsidP="00AA1F01">
      <w:pPr>
        <w:spacing w:after="0" w:line="240" w:lineRule="auto"/>
        <w:rPr>
          <w:rFonts w:cstheme="minorHAnsi"/>
        </w:rPr>
      </w:pPr>
      <w:r w:rsidRPr="005A6C60">
        <w:rPr>
          <w:rFonts w:cstheme="minorHAnsi"/>
          <w:b/>
          <w:bCs/>
        </w:rPr>
        <w:t xml:space="preserve">TUPE Implications </w:t>
      </w:r>
      <w:r w:rsidR="000B68AF">
        <w:rPr>
          <w:rFonts w:cstheme="minorHAnsi"/>
          <w:b/>
          <w:bCs/>
        </w:rPr>
        <w:t>–</w:t>
      </w:r>
      <w:r w:rsidRPr="005A6C60">
        <w:rPr>
          <w:rFonts w:cstheme="minorHAnsi"/>
          <w:b/>
          <w:bCs/>
        </w:rPr>
        <w:t xml:space="preserve"> </w:t>
      </w:r>
      <w:r w:rsidR="000B68AF">
        <w:rPr>
          <w:rFonts w:cstheme="minorHAnsi"/>
        </w:rPr>
        <w:t>N/A</w:t>
      </w:r>
    </w:p>
    <w:p w14:paraId="0FBCD25E" w14:textId="77777777" w:rsidR="00BF2098" w:rsidRPr="005A6C60" w:rsidRDefault="00BF2098" w:rsidP="00AA1F01">
      <w:pPr>
        <w:spacing w:after="0" w:line="240" w:lineRule="auto"/>
        <w:rPr>
          <w:rFonts w:cstheme="minorHAnsi"/>
        </w:rPr>
      </w:pPr>
    </w:p>
    <w:p w14:paraId="1DB3EA9B" w14:textId="05CEA4DF" w:rsidR="00AA1F01" w:rsidRDefault="00AA1F01" w:rsidP="004A60CA">
      <w:pPr>
        <w:spacing w:after="0" w:line="240" w:lineRule="auto"/>
      </w:pPr>
      <w:r w:rsidRPr="005A6C60">
        <w:rPr>
          <w:rFonts w:cstheme="minorHAnsi"/>
          <w:b/>
          <w:bCs/>
        </w:rPr>
        <w:t xml:space="preserve">Delivery </w:t>
      </w:r>
      <w:r w:rsidR="00A91D7B">
        <w:rPr>
          <w:rFonts w:cstheme="minorHAnsi"/>
          <w:b/>
          <w:bCs/>
        </w:rPr>
        <w:t>–</w:t>
      </w:r>
      <w:r w:rsidRPr="005A6C60">
        <w:rPr>
          <w:rFonts w:cstheme="minorHAnsi"/>
          <w:b/>
          <w:bCs/>
        </w:rPr>
        <w:t xml:space="preserve"> </w:t>
      </w:r>
      <w:r w:rsidR="00A91D7B">
        <w:rPr>
          <w:rFonts w:cstheme="minorHAnsi"/>
          <w:b/>
          <w:bCs/>
        </w:rPr>
        <w:t>‘’</w:t>
      </w:r>
      <w:r w:rsidR="00A91D7B" w:rsidRPr="003C3338">
        <w:t xml:space="preserve">Notwithstanding the foregoing and unless otherwise indicated on </w:t>
      </w:r>
      <w:proofErr w:type="spellStart"/>
      <w:r w:rsidR="00A91D7B" w:rsidRPr="003C3338">
        <w:t>Revvity’s</w:t>
      </w:r>
      <w:proofErr w:type="spellEnd"/>
      <w:r w:rsidR="00A91D7B" w:rsidRPr="003C3338">
        <w:t xml:space="preserve"> quotation, for Reagent Products sales within Australia, the UK, or any European Union country, such Reagent Products are shipped DDP (Incoterms 2020) and </w:t>
      </w:r>
      <w:proofErr w:type="spellStart"/>
      <w:r w:rsidR="00A91D7B" w:rsidRPr="003C3338">
        <w:t>Revvity</w:t>
      </w:r>
      <w:proofErr w:type="spellEnd"/>
      <w:r w:rsidR="00A91D7B" w:rsidRPr="003C3338">
        <w:t xml:space="preserve"> is responsible for all transportation, shipping and handling charges to the Delivery Point.</w:t>
      </w:r>
      <w:r w:rsidR="00A91D7B">
        <w:t xml:space="preserve"> ‘’ - </w:t>
      </w:r>
      <w:r w:rsidR="00A91D7B" w:rsidRPr="003C3338">
        <w:t>Terms and Conditions of Sale for Life Sciences</w:t>
      </w:r>
    </w:p>
    <w:p w14:paraId="7ABD6618" w14:textId="77777777" w:rsidR="00A91D7B" w:rsidRPr="005A6C60" w:rsidRDefault="00A91D7B" w:rsidP="004A60CA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273FB" w:rsidRPr="005A6C60" w14:paraId="08566FBC" w14:textId="77777777" w:rsidTr="007273FB">
        <w:tc>
          <w:tcPr>
            <w:tcW w:w="9912" w:type="dxa"/>
            <w:shd w:val="clear" w:color="auto" w:fill="D3374A"/>
          </w:tcPr>
          <w:p w14:paraId="4B8D572E" w14:textId="37EBFC2E" w:rsidR="007273FB" w:rsidRPr="005A6C60" w:rsidRDefault="005D4C72" w:rsidP="004A60C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E13FF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EB2ADB" w:rsidRPr="005A6C6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7273FB" w:rsidRPr="005A6C6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Approval</w:t>
            </w:r>
          </w:p>
        </w:tc>
      </w:tr>
    </w:tbl>
    <w:p w14:paraId="6A665467" w14:textId="77777777" w:rsidR="00914BD8" w:rsidRPr="005A6C60" w:rsidRDefault="00914BD8" w:rsidP="004A60CA">
      <w:pPr>
        <w:spacing w:after="0" w:line="240" w:lineRule="auto"/>
        <w:rPr>
          <w:rFonts w:cstheme="minorHAnsi"/>
          <w:b/>
          <w:bCs/>
        </w:rPr>
      </w:pPr>
    </w:p>
    <w:p w14:paraId="4E4D123E" w14:textId="65467E29" w:rsidR="007300FB" w:rsidRPr="005A6C60" w:rsidRDefault="007300FB" w:rsidP="004A60CA">
      <w:pPr>
        <w:spacing w:after="0" w:line="240" w:lineRule="auto"/>
        <w:rPr>
          <w:rFonts w:cstheme="minorHAnsi"/>
          <w:b/>
          <w:bCs/>
        </w:rPr>
      </w:pPr>
      <w:r w:rsidRPr="005A6C60">
        <w:rPr>
          <w:rFonts w:cstheme="minorHAnsi"/>
          <w:b/>
          <w:bCs/>
        </w:rPr>
        <w:t>Procurement Plan Written by:</w:t>
      </w:r>
      <w:r w:rsidR="00A91D7B">
        <w:rPr>
          <w:rFonts w:cstheme="minorHAnsi"/>
          <w:b/>
          <w:bCs/>
        </w:rPr>
        <w:t xml:space="preserve"> Harry Morris</w:t>
      </w:r>
    </w:p>
    <w:p w14:paraId="3C486C32" w14:textId="77777777" w:rsidR="00DC43A1" w:rsidRPr="005A6C60" w:rsidRDefault="00DC43A1" w:rsidP="004A60CA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3216"/>
        <w:gridCol w:w="1671"/>
      </w:tblGrid>
      <w:tr w:rsidR="007300FB" w:rsidRPr="005A6C60" w14:paraId="71040B99" w14:textId="77777777" w:rsidTr="004D231C">
        <w:trPr>
          <w:trHeight w:val="331"/>
        </w:trPr>
        <w:tc>
          <w:tcPr>
            <w:tcW w:w="2444" w:type="dxa"/>
            <w:shd w:val="clear" w:color="auto" w:fill="D9D9D9" w:themeFill="background1" w:themeFillShade="D9"/>
          </w:tcPr>
          <w:p w14:paraId="7DC1ABBD" w14:textId="69E6868E" w:rsidR="007300FB" w:rsidRPr="005A6C60" w:rsidRDefault="007300FB" w:rsidP="004A60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Position 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09E65BFD" w14:textId="77777777" w:rsidR="007300FB" w:rsidRPr="005A6C60" w:rsidRDefault="007300FB" w:rsidP="004A60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216" w:type="dxa"/>
            <w:shd w:val="clear" w:color="auto" w:fill="D9D9D9" w:themeFill="background1" w:themeFillShade="D9"/>
          </w:tcPr>
          <w:p w14:paraId="6563A2CB" w14:textId="77777777" w:rsidR="007300FB" w:rsidRPr="005A6C60" w:rsidRDefault="007300FB" w:rsidP="004A60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Signed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3A693431" w14:textId="77777777" w:rsidR="007300FB" w:rsidRPr="005A6C60" w:rsidRDefault="007300FB" w:rsidP="004A60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</w:tr>
      <w:tr w:rsidR="007300FB" w:rsidRPr="005A6C60" w14:paraId="71F9685E" w14:textId="77777777" w:rsidTr="00902539">
        <w:trPr>
          <w:trHeight w:val="361"/>
        </w:trPr>
        <w:tc>
          <w:tcPr>
            <w:tcW w:w="2444" w:type="dxa"/>
          </w:tcPr>
          <w:p w14:paraId="433DD794" w14:textId="34EB54E1" w:rsidR="007300FB" w:rsidRPr="005A6C60" w:rsidRDefault="007300FB" w:rsidP="004A60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sz w:val="22"/>
                <w:szCs w:val="22"/>
              </w:rPr>
              <w:t>Procurement Lead</w:t>
            </w:r>
          </w:p>
        </w:tc>
        <w:tc>
          <w:tcPr>
            <w:tcW w:w="2444" w:type="dxa"/>
          </w:tcPr>
          <w:p w14:paraId="3684314B" w14:textId="4FE6AE44" w:rsidR="007300FB" w:rsidRPr="005A6C60" w:rsidRDefault="004C1C79" w:rsidP="004A60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Harry Morris</w:t>
            </w:r>
          </w:p>
        </w:tc>
        <w:tc>
          <w:tcPr>
            <w:tcW w:w="3216" w:type="dxa"/>
          </w:tcPr>
          <w:p w14:paraId="0863CCA3" w14:textId="3D39D3DC" w:rsidR="007300FB" w:rsidRPr="005A6C60" w:rsidRDefault="004C1C79" w:rsidP="004A60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E81820D" wp14:editId="2738E0AC">
                  <wp:extent cx="885825" cy="274417"/>
                  <wp:effectExtent l="0" t="0" r="0" b="0"/>
                  <wp:docPr id="1096145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873" cy="285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14:paraId="77AE3A24" w14:textId="5B059311" w:rsidR="007300FB" w:rsidRPr="005A6C60" w:rsidRDefault="004C1C79" w:rsidP="004A60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10/02/2025</w:t>
            </w:r>
          </w:p>
        </w:tc>
      </w:tr>
    </w:tbl>
    <w:p w14:paraId="1133ACD8" w14:textId="77777777" w:rsidR="00914BD8" w:rsidRPr="005A6C60" w:rsidRDefault="00914BD8" w:rsidP="004A60CA">
      <w:pPr>
        <w:spacing w:after="0" w:line="240" w:lineRule="auto"/>
        <w:rPr>
          <w:rFonts w:cstheme="minorHAnsi"/>
          <w:b/>
          <w:bCs/>
        </w:rPr>
      </w:pPr>
    </w:p>
    <w:p w14:paraId="5D79280F" w14:textId="40334973" w:rsidR="007273FB" w:rsidRPr="005A6C60" w:rsidRDefault="00803EAB" w:rsidP="004A60CA">
      <w:pPr>
        <w:spacing w:after="0" w:line="240" w:lineRule="auto"/>
        <w:rPr>
          <w:rFonts w:cstheme="minorHAnsi"/>
          <w:b/>
          <w:bCs/>
        </w:rPr>
      </w:pPr>
      <w:r w:rsidRPr="005A6C60">
        <w:rPr>
          <w:rFonts w:cstheme="minorHAnsi"/>
          <w:b/>
          <w:bCs/>
        </w:rPr>
        <w:t xml:space="preserve">Procurement Plan </w:t>
      </w:r>
      <w:r w:rsidR="008D6DE0" w:rsidRPr="005A6C60">
        <w:rPr>
          <w:rFonts w:cstheme="minorHAnsi"/>
          <w:b/>
          <w:bCs/>
        </w:rPr>
        <w:t xml:space="preserve">Approved </w:t>
      </w:r>
      <w:r w:rsidRPr="005A6C60">
        <w:rPr>
          <w:rFonts w:cstheme="minorHAnsi"/>
          <w:b/>
          <w:bCs/>
        </w:rPr>
        <w:t>by:</w:t>
      </w:r>
      <w:r w:rsidR="004C1C79">
        <w:rPr>
          <w:rFonts w:cstheme="minorHAnsi"/>
          <w:b/>
          <w:bCs/>
        </w:rPr>
        <w:t xml:space="preserve"> Jamie Jones</w:t>
      </w:r>
    </w:p>
    <w:p w14:paraId="69A97269" w14:textId="77777777" w:rsidR="00473CCE" w:rsidRPr="005A6C60" w:rsidRDefault="00473CCE" w:rsidP="004A60CA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3261"/>
        <w:gridCol w:w="1695"/>
      </w:tblGrid>
      <w:tr w:rsidR="00803EAB" w:rsidRPr="005A6C60" w14:paraId="08C593B2" w14:textId="77777777" w:rsidTr="004D231C">
        <w:tc>
          <w:tcPr>
            <w:tcW w:w="2478" w:type="dxa"/>
            <w:shd w:val="clear" w:color="auto" w:fill="D9D9D9" w:themeFill="background1" w:themeFillShade="D9"/>
          </w:tcPr>
          <w:p w14:paraId="597C9AC6" w14:textId="5A3E941B" w:rsidR="00803EAB" w:rsidRPr="005A6C60" w:rsidRDefault="007300FB" w:rsidP="004A60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478" w:type="dxa"/>
            <w:shd w:val="clear" w:color="auto" w:fill="D9D9D9" w:themeFill="background1" w:themeFillShade="D9"/>
          </w:tcPr>
          <w:p w14:paraId="1C4A89E8" w14:textId="16188653" w:rsidR="00803EAB" w:rsidRPr="005A6C60" w:rsidRDefault="007300FB" w:rsidP="004A60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2994093" w14:textId="76661562" w:rsidR="00803EAB" w:rsidRPr="005A6C60" w:rsidRDefault="001519FC" w:rsidP="004A60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</w:t>
            </w:r>
            <w:r w:rsidR="007300FB"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Authorisation </w:t>
            </w: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received </w:t>
            </w: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7C4F498D" w14:textId="2C610501" w:rsidR="00803EAB" w:rsidRPr="005A6C60" w:rsidRDefault="00803EAB" w:rsidP="004A60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</w:tr>
      <w:tr w:rsidR="008A4C65" w:rsidRPr="005A6C60" w14:paraId="103F6600" w14:textId="77777777" w:rsidTr="00803EAB">
        <w:tc>
          <w:tcPr>
            <w:tcW w:w="2478" w:type="dxa"/>
          </w:tcPr>
          <w:p w14:paraId="56EA4B99" w14:textId="0E89D52C" w:rsidR="008A4C65" w:rsidRPr="008A4C65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C65">
              <w:rPr>
                <w:rFonts w:asciiTheme="minorHAnsi" w:hAnsiTheme="minorHAnsi" w:cstheme="minorHAnsi"/>
                <w:sz w:val="22"/>
                <w:szCs w:val="22"/>
              </w:rPr>
              <w:t>Customer Lead</w:t>
            </w:r>
          </w:p>
        </w:tc>
        <w:tc>
          <w:tcPr>
            <w:tcW w:w="2478" w:type="dxa"/>
          </w:tcPr>
          <w:p w14:paraId="756321D8" w14:textId="0961B22E" w:rsidR="008A4C65" w:rsidRPr="005A6C60" w:rsidRDefault="004C1C79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Sarah Davies</w:t>
            </w:r>
          </w:p>
        </w:tc>
        <w:tc>
          <w:tcPr>
            <w:tcW w:w="3261" w:type="dxa"/>
          </w:tcPr>
          <w:p w14:paraId="77163F92" w14:textId="7F5AC247" w:rsidR="008A4C65" w:rsidRPr="005A6C60" w:rsidRDefault="008266FA" w:rsidP="008A4C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695" w:type="dxa"/>
          </w:tcPr>
          <w:p w14:paraId="2B91B7A8" w14:textId="1709C058" w:rsidR="008A4C65" w:rsidRPr="005A6C60" w:rsidRDefault="008266FA" w:rsidP="008A4C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6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03/03/2025</w:t>
            </w:r>
          </w:p>
        </w:tc>
      </w:tr>
      <w:tr w:rsidR="008A4C65" w:rsidRPr="005A6C60" w14:paraId="67A185D0" w14:textId="77777777" w:rsidTr="00803EAB">
        <w:tc>
          <w:tcPr>
            <w:tcW w:w="2478" w:type="dxa"/>
          </w:tcPr>
          <w:p w14:paraId="0F89F035" w14:textId="650CA46D" w:rsidR="008A4C65" w:rsidRPr="008A4C65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C65">
              <w:rPr>
                <w:rFonts w:asciiTheme="minorHAnsi" w:hAnsiTheme="minorHAnsi" w:cstheme="minorHAnsi"/>
                <w:sz w:val="22"/>
                <w:szCs w:val="22"/>
              </w:rPr>
              <w:t>Financial Approver</w:t>
            </w:r>
          </w:p>
        </w:tc>
        <w:tc>
          <w:tcPr>
            <w:tcW w:w="2478" w:type="dxa"/>
          </w:tcPr>
          <w:p w14:paraId="39D0DE8C" w14:textId="228DDCDE" w:rsidR="008A4C65" w:rsidRPr="005A6C60" w:rsidRDefault="004C1C79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1C79">
              <w:rPr>
                <w:rFonts w:asciiTheme="minorHAnsi" w:hAnsiTheme="minorHAnsi" w:cstheme="minorHAnsi"/>
                <w:sz w:val="22"/>
                <w:szCs w:val="22"/>
              </w:rPr>
              <w:t>James Walters</w:t>
            </w:r>
          </w:p>
        </w:tc>
        <w:tc>
          <w:tcPr>
            <w:tcW w:w="3261" w:type="dxa"/>
          </w:tcPr>
          <w:p w14:paraId="1CF66AAB" w14:textId="213C589B" w:rsidR="008A4C65" w:rsidRPr="005A6C60" w:rsidRDefault="008266FA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695" w:type="dxa"/>
          </w:tcPr>
          <w:p w14:paraId="3466D260" w14:textId="0CEF7E75" w:rsidR="008A4C65" w:rsidRPr="005A6C60" w:rsidRDefault="008266FA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66FA">
              <w:rPr>
                <w:rFonts w:asciiTheme="minorHAnsi" w:hAnsiTheme="minorHAnsi" w:cstheme="minorHAnsi"/>
                <w:sz w:val="22"/>
                <w:szCs w:val="22"/>
              </w:rPr>
              <w:t>03/03/2025</w:t>
            </w:r>
          </w:p>
        </w:tc>
      </w:tr>
      <w:tr w:rsidR="008A4C65" w:rsidRPr="005A6C60" w14:paraId="2A1CE57C" w14:textId="77777777" w:rsidTr="00803EAB">
        <w:tc>
          <w:tcPr>
            <w:tcW w:w="2478" w:type="dxa"/>
          </w:tcPr>
          <w:p w14:paraId="071C7530" w14:textId="08E68BE7" w:rsidR="008A4C65" w:rsidRPr="008A4C65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C65">
              <w:rPr>
                <w:rFonts w:asciiTheme="minorHAnsi" w:hAnsiTheme="minorHAnsi" w:cstheme="minorHAnsi"/>
                <w:sz w:val="22"/>
                <w:szCs w:val="22"/>
              </w:rPr>
              <w:t>Head of School/ Department</w:t>
            </w:r>
            <w:r w:rsidR="000555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78" w:type="dxa"/>
          </w:tcPr>
          <w:p w14:paraId="69C858B9" w14:textId="0A11081B" w:rsidR="008A4C65" w:rsidRPr="005A6C60" w:rsidRDefault="009A1B71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Rachel Errington</w:t>
            </w:r>
          </w:p>
        </w:tc>
        <w:tc>
          <w:tcPr>
            <w:tcW w:w="3261" w:type="dxa"/>
          </w:tcPr>
          <w:p w14:paraId="4600AA71" w14:textId="38CFC5CF" w:rsidR="008A4C65" w:rsidRPr="005A6C60" w:rsidRDefault="008266FA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695" w:type="dxa"/>
          </w:tcPr>
          <w:p w14:paraId="229786D9" w14:textId="52EB14F8" w:rsidR="008A4C65" w:rsidRPr="005A6C60" w:rsidRDefault="008266FA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66FA">
              <w:rPr>
                <w:rFonts w:asciiTheme="minorHAnsi" w:hAnsiTheme="minorHAnsi" w:cstheme="minorHAnsi"/>
                <w:sz w:val="22"/>
                <w:szCs w:val="22"/>
              </w:rPr>
              <w:t>19/03/2025</w:t>
            </w:r>
          </w:p>
        </w:tc>
      </w:tr>
      <w:tr w:rsidR="009F6548" w:rsidRPr="005A6C60" w14:paraId="4D4DBE8F" w14:textId="77777777" w:rsidTr="00803EAB">
        <w:tc>
          <w:tcPr>
            <w:tcW w:w="2478" w:type="dxa"/>
          </w:tcPr>
          <w:p w14:paraId="12135698" w14:textId="7B280E9E" w:rsidR="009F6548" w:rsidRPr="009F6548" w:rsidRDefault="00861721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Senior </w:t>
            </w:r>
            <w:r w:rsidR="009F6548" w:rsidRPr="009F6548">
              <w:rPr>
                <w:rFonts w:asciiTheme="minorHAnsi" w:hAnsiTheme="minorHAnsi" w:cstheme="minorHAnsi"/>
                <w:sz w:val="22"/>
                <w:szCs w:val="22"/>
              </w:rPr>
              <w:t>Category Manager (approval of procurement process up to £99,999)</w:t>
            </w:r>
          </w:p>
        </w:tc>
        <w:tc>
          <w:tcPr>
            <w:tcW w:w="2478" w:type="dxa"/>
          </w:tcPr>
          <w:p w14:paraId="0AEDB58D" w14:textId="0A80AB02" w:rsidR="009F6548" w:rsidRPr="009F6548" w:rsidRDefault="004C1C79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Jamie Jones</w:t>
            </w:r>
          </w:p>
        </w:tc>
        <w:tc>
          <w:tcPr>
            <w:tcW w:w="3261" w:type="dxa"/>
          </w:tcPr>
          <w:p w14:paraId="5C5A9BC4" w14:textId="7A1DB907" w:rsidR="009F6548" w:rsidRPr="009F6548" w:rsidRDefault="008266FA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6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695" w:type="dxa"/>
          </w:tcPr>
          <w:p w14:paraId="5403E512" w14:textId="77777777" w:rsidR="009F6548" w:rsidRDefault="009F6548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169B3A" w14:textId="19532ED8" w:rsidR="008266FA" w:rsidRPr="008266FA" w:rsidRDefault="008266FA" w:rsidP="008266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6FA">
              <w:rPr>
                <w:rFonts w:asciiTheme="minorHAnsi" w:hAnsiTheme="minorHAnsi" w:cstheme="minorHAnsi"/>
                <w:sz w:val="22"/>
                <w:szCs w:val="22"/>
              </w:rPr>
              <w:t>18/02/2025</w:t>
            </w:r>
          </w:p>
        </w:tc>
      </w:tr>
      <w:tr w:rsidR="008A4C65" w:rsidRPr="005A6C60" w14:paraId="7AEB54E5" w14:textId="77777777" w:rsidTr="004D231C">
        <w:trPr>
          <w:trHeight w:val="323"/>
        </w:trPr>
        <w:tc>
          <w:tcPr>
            <w:tcW w:w="2478" w:type="dxa"/>
          </w:tcPr>
          <w:p w14:paraId="32258D50" w14:textId="65E2FCE6" w:rsidR="008A4C65" w:rsidRPr="008A4C65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C65">
              <w:rPr>
                <w:rFonts w:asciiTheme="minorHAnsi" w:hAnsiTheme="minorHAnsi" w:cstheme="minorHAnsi"/>
                <w:sz w:val="22"/>
                <w:szCs w:val="22"/>
              </w:rPr>
              <w:t>Procurement Director (approval of procurement process</w:t>
            </w:r>
            <w:r w:rsidR="009F6548">
              <w:rPr>
                <w:rFonts w:asciiTheme="minorHAnsi" w:hAnsiTheme="minorHAnsi" w:cstheme="minorHAnsi"/>
                <w:sz w:val="22"/>
                <w:szCs w:val="22"/>
              </w:rPr>
              <w:t xml:space="preserve"> £100k upwards</w:t>
            </w:r>
            <w:r w:rsidRPr="008A4C6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78" w:type="dxa"/>
          </w:tcPr>
          <w:p w14:paraId="65AB04BC" w14:textId="3A0078B9" w:rsidR="008A4C65" w:rsidRPr="005A6C60" w:rsidRDefault="009A1B71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6CE195DB" w14:textId="77777777" w:rsidR="008A4C65" w:rsidRPr="005A6C60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3EF28A" w14:textId="77777777" w:rsidR="008A4C65" w:rsidRPr="005A6C60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C65" w:rsidRPr="005A6C60" w14:paraId="608DFBB6" w14:textId="77777777" w:rsidTr="004D231C">
        <w:trPr>
          <w:trHeight w:val="323"/>
        </w:trPr>
        <w:tc>
          <w:tcPr>
            <w:tcW w:w="2478" w:type="dxa"/>
          </w:tcPr>
          <w:p w14:paraId="10458E0D" w14:textId="427988C7" w:rsidR="008A4C65" w:rsidRPr="008A4C65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C65">
              <w:rPr>
                <w:rFonts w:asciiTheme="minorHAnsi" w:hAnsiTheme="minorHAnsi" w:cstheme="minorHAnsi"/>
                <w:sz w:val="22"/>
                <w:szCs w:val="22"/>
              </w:rPr>
              <w:t>Head of Finance (if £100k or above approval of budget availability)</w:t>
            </w:r>
          </w:p>
        </w:tc>
        <w:tc>
          <w:tcPr>
            <w:tcW w:w="2478" w:type="dxa"/>
          </w:tcPr>
          <w:p w14:paraId="5767347B" w14:textId="631780E8" w:rsidR="008A4C65" w:rsidRPr="005A6C60" w:rsidRDefault="009A1B71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2D552F85" w14:textId="77777777" w:rsidR="008A4C65" w:rsidRPr="005A6C60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380CDD2E" w14:textId="77777777" w:rsidR="008A4C65" w:rsidRPr="005A6C60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C65" w:rsidRPr="005A6C60" w14:paraId="1E4DC6C6" w14:textId="77777777" w:rsidTr="004D231C">
        <w:trPr>
          <w:trHeight w:val="323"/>
        </w:trPr>
        <w:tc>
          <w:tcPr>
            <w:tcW w:w="2478" w:type="dxa"/>
          </w:tcPr>
          <w:p w14:paraId="3E063065" w14:textId="23F4D4A9" w:rsidR="008A4C65" w:rsidRPr="008A4C65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C65">
              <w:rPr>
                <w:rFonts w:asciiTheme="minorHAnsi" w:hAnsiTheme="minorHAnsi" w:cstheme="minorHAnsi"/>
                <w:sz w:val="22"/>
                <w:szCs w:val="22"/>
              </w:rPr>
              <w:t>Director of Financial Operations (if £</w:t>
            </w:r>
            <w:r w:rsidR="009F654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8A4C65">
              <w:rPr>
                <w:rFonts w:asciiTheme="minorHAnsi" w:hAnsiTheme="minorHAnsi" w:cstheme="minorHAnsi"/>
                <w:sz w:val="22"/>
                <w:szCs w:val="22"/>
              </w:rPr>
              <w:t>0k or above approval of budget availability)</w:t>
            </w:r>
          </w:p>
        </w:tc>
        <w:tc>
          <w:tcPr>
            <w:tcW w:w="2478" w:type="dxa"/>
          </w:tcPr>
          <w:p w14:paraId="0E7B5F6C" w14:textId="67BDE332" w:rsidR="008A4C65" w:rsidRPr="005A6C60" w:rsidRDefault="009A1B71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2E0865B6" w14:textId="77777777" w:rsidR="008A4C65" w:rsidRPr="005A6C60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332C8CB" w14:textId="77777777" w:rsidR="008A4C65" w:rsidRPr="005A6C60" w:rsidRDefault="008A4C65" w:rsidP="008A4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2C70BC" w14:textId="77777777" w:rsidR="00A203F5" w:rsidRPr="005A6C60" w:rsidRDefault="00A203F5" w:rsidP="00A203F5">
      <w:pPr>
        <w:spacing w:after="0" w:line="240" w:lineRule="auto"/>
        <w:rPr>
          <w:rFonts w:cstheme="minorHAnsi"/>
          <w:b/>
          <w:bCs/>
        </w:rPr>
      </w:pPr>
    </w:p>
    <w:p w14:paraId="6F8FC5C5" w14:textId="77777777" w:rsidR="00A203F5" w:rsidRPr="005A6C60" w:rsidRDefault="00A203F5" w:rsidP="004A60CA">
      <w:pPr>
        <w:spacing w:after="0" w:line="240" w:lineRule="auto"/>
        <w:rPr>
          <w:rFonts w:cstheme="minorHAnsi"/>
          <w:b/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2079"/>
        <w:gridCol w:w="4962"/>
        <w:gridCol w:w="1559"/>
      </w:tblGrid>
      <w:tr w:rsidR="00EB2ADB" w:rsidRPr="005A6C60" w14:paraId="4B31F0D9" w14:textId="77777777" w:rsidTr="005946EF">
        <w:trPr>
          <w:trHeight w:val="323"/>
        </w:trPr>
        <w:tc>
          <w:tcPr>
            <w:tcW w:w="9923" w:type="dxa"/>
            <w:gridSpan w:val="4"/>
            <w:shd w:val="clear" w:color="auto" w:fill="D3374A"/>
          </w:tcPr>
          <w:p w14:paraId="430C5552" w14:textId="57667DF5" w:rsidR="00EB2ADB" w:rsidRPr="005A6C60" w:rsidRDefault="00153A99" w:rsidP="004A6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 w:themeColor="background1"/>
              </w:rPr>
            </w:pPr>
            <w:r w:rsidRPr="005A6C60">
              <w:rPr>
                <w:rFonts w:cstheme="minorHAnsi"/>
                <w:b/>
                <w:color w:val="FFFFFF" w:themeColor="background1"/>
              </w:rPr>
              <w:t>1</w:t>
            </w:r>
            <w:r w:rsidR="00E13FFD">
              <w:rPr>
                <w:rFonts w:cstheme="minorHAnsi"/>
                <w:b/>
                <w:color w:val="FFFFFF" w:themeColor="background1"/>
              </w:rPr>
              <w:t>2</w:t>
            </w:r>
            <w:r w:rsidR="00EB2ADB" w:rsidRPr="005A6C60">
              <w:rPr>
                <w:rFonts w:cstheme="minorHAnsi"/>
                <w:b/>
                <w:color w:val="FFFFFF" w:themeColor="background1"/>
              </w:rPr>
              <w:t xml:space="preserve">.  Version </w:t>
            </w:r>
            <w:r w:rsidR="007300FB" w:rsidRPr="005A6C60">
              <w:rPr>
                <w:rFonts w:cstheme="minorHAnsi"/>
                <w:b/>
                <w:color w:val="FFFFFF" w:themeColor="background1"/>
              </w:rPr>
              <w:t>Control</w:t>
            </w:r>
            <w:r w:rsidR="005F490C" w:rsidRPr="005A6C60">
              <w:rPr>
                <w:rFonts w:cstheme="minorHAnsi"/>
                <w:b/>
                <w:bCs/>
                <w:color w:val="FFFFFF" w:themeColor="background1"/>
              </w:rPr>
              <w:t xml:space="preserve">. </w:t>
            </w:r>
            <w:r w:rsidR="00EB2ADB" w:rsidRPr="005A6C60">
              <w:rPr>
                <w:rFonts w:cstheme="minorHAnsi"/>
                <w:color w:val="FFFFFF" w:themeColor="background1"/>
              </w:rPr>
              <w:t xml:space="preserve">This table should be completed </w:t>
            </w:r>
            <w:proofErr w:type="gramStart"/>
            <w:r w:rsidR="00EB2ADB" w:rsidRPr="005A6C60">
              <w:rPr>
                <w:rFonts w:cstheme="minorHAnsi"/>
                <w:color w:val="FFFFFF" w:themeColor="background1"/>
              </w:rPr>
              <w:t>in order to</w:t>
            </w:r>
            <w:proofErr w:type="gramEnd"/>
            <w:r w:rsidR="00EB2ADB" w:rsidRPr="005A6C60">
              <w:rPr>
                <w:rFonts w:cstheme="minorHAnsi"/>
                <w:color w:val="FFFFFF" w:themeColor="background1"/>
              </w:rPr>
              <w:t xml:space="preserve"> track any changes made to the document. </w:t>
            </w:r>
          </w:p>
        </w:tc>
      </w:tr>
      <w:tr w:rsidR="00EB2ADB" w:rsidRPr="005A6C60" w14:paraId="13097AC2" w14:textId="77777777" w:rsidTr="007300FB">
        <w:trPr>
          <w:trHeight w:val="354"/>
        </w:trPr>
        <w:tc>
          <w:tcPr>
            <w:tcW w:w="1323" w:type="dxa"/>
            <w:shd w:val="clear" w:color="auto" w:fill="D3374A"/>
          </w:tcPr>
          <w:p w14:paraId="55F1884D" w14:textId="77777777" w:rsidR="00EB2ADB" w:rsidRPr="005A6C60" w:rsidRDefault="00EB2ADB" w:rsidP="004A60CA">
            <w:pPr>
              <w:spacing w:after="0" w:line="240" w:lineRule="auto"/>
              <w:rPr>
                <w:rFonts w:cstheme="minorHAnsi"/>
                <w:b/>
                <w:color w:val="FFFFFF" w:themeColor="background1"/>
              </w:rPr>
            </w:pPr>
            <w:r w:rsidRPr="005A6C60">
              <w:rPr>
                <w:rFonts w:cstheme="minorHAnsi"/>
                <w:b/>
                <w:color w:val="FFFFFF" w:themeColor="background1"/>
              </w:rPr>
              <w:t>Version</w:t>
            </w:r>
          </w:p>
        </w:tc>
        <w:tc>
          <w:tcPr>
            <w:tcW w:w="2079" w:type="dxa"/>
            <w:shd w:val="clear" w:color="auto" w:fill="D3374A"/>
          </w:tcPr>
          <w:p w14:paraId="2E06D926" w14:textId="164F66CD" w:rsidR="00EB2ADB" w:rsidRPr="005A6C60" w:rsidRDefault="007300FB" w:rsidP="004A60CA">
            <w:pPr>
              <w:spacing w:after="0" w:line="240" w:lineRule="auto"/>
              <w:rPr>
                <w:rFonts w:cstheme="minorHAnsi"/>
                <w:b/>
                <w:color w:val="FFFFFF" w:themeColor="background1"/>
              </w:rPr>
            </w:pPr>
            <w:r w:rsidRPr="005A6C60">
              <w:rPr>
                <w:rFonts w:cstheme="minorHAnsi"/>
                <w:b/>
                <w:color w:val="FFFFFF" w:themeColor="background1"/>
              </w:rPr>
              <w:t>Author</w:t>
            </w:r>
          </w:p>
        </w:tc>
        <w:tc>
          <w:tcPr>
            <w:tcW w:w="4962" w:type="dxa"/>
            <w:shd w:val="clear" w:color="auto" w:fill="D3374A"/>
          </w:tcPr>
          <w:p w14:paraId="57C56537" w14:textId="77777777" w:rsidR="00EB2ADB" w:rsidRPr="005A6C60" w:rsidRDefault="00EB2ADB" w:rsidP="004A60CA">
            <w:pPr>
              <w:spacing w:after="0" w:line="240" w:lineRule="auto"/>
              <w:rPr>
                <w:rFonts w:cstheme="minorHAnsi"/>
                <w:b/>
                <w:color w:val="FFFFFF" w:themeColor="background1"/>
              </w:rPr>
            </w:pPr>
            <w:r w:rsidRPr="005A6C60">
              <w:rPr>
                <w:rFonts w:cstheme="minorHAnsi"/>
                <w:b/>
                <w:color w:val="FFFFFF" w:themeColor="background1"/>
              </w:rPr>
              <w:t>Action/Changes</w:t>
            </w:r>
          </w:p>
        </w:tc>
        <w:tc>
          <w:tcPr>
            <w:tcW w:w="1559" w:type="dxa"/>
            <w:shd w:val="clear" w:color="auto" w:fill="D3374A"/>
          </w:tcPr>
          <w:p w14:paraId="4AC8C3B9" w14:textId="03EA9049" w:rsidR="00EB2ADB" w:rsidRPr="005A6C60" w:rsidRDefault="007300FB" w:rsidP="004A60CA">
            <w:pPr>
              <w:spacing w:after="0" w:line="240" w:lineRule="auto"/>
              <w:rPr>
                <w:rFonts w:cstheme="minorHAnsi"/>
                <w:b/>
                <w:color w:val="FFFFFF" w:themeColor="background1"/>
              </w:rPr>
            </w:pPr>
            <w:r w:rsidRPr="005A6C60">
              <w:rPr>
                <w:rFonts w:cstheme="minorHAnsi"/>
                <w:b/>
                <w:color w:val="FFFFFF" w:themeColor="background1"/>
              </w:rPr>
              <w:t>Date</w:t>
            </w:r>
          </w:p>
        </w:tc>
      </w:tr>
      <w:tr w:rsidR="00EB2ADB" w:rsidRPr="005A6C60" w14:paraId="18303A41" w14:textId="77777777" w:rsidTr="007300FB">
        <w:trPr>
          <w:trHeight w:val="354"/>
        </w:trPr>
        <w:tc>
          <w:tcPr>
            <w:tcW w:w="1323" w:type="dxa"/>
            <w:shd w:val="clear" w:color="auto" w:fill="auto"/>
          </w:tcPr>
          <w:p w14:paraId="6DB72330" w14:textId="0A959DC4" w:rsidR="00EB2ADB" w:rsidRPr="005A6C60" w:rsidRDefault="004C1C79" w:rsidP="004A60CA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14:paraId="25CDE9EA" w14:textId="56462A7C" w:rsidR="00EB2ADB" w:rsidRPr="005A6C60" w:rsidRDefault="004C1C79" w:rsidP="004A60CA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Harry Morris</w:t>
            </w:r>
          </w:p>
        </w:tc>
        <w:tc>
          <w:tcPr>
            <w:tcW w:w="4962" w:type="dxa"/>
            <w:shd w:val="clear" w:color="auto" w:fill="auto"/>
          </w:tcPr>
          <w:p w14:paraId="67938B0D" w14:textId="4689BC05" w:rsidR="00EB2ADB" w:rsidRPr="005A6C60" w:rsidRDefault="004C1C79" w:rsidP="004A60CA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Population of document</w:t>
            </w:r>
          </w:p>
        </w:tc>
        <w:tc>
          <w:tcPr>
            <w:tcW w:w="1559" w:type="dxa"/>
            <w:shd w:val="clear" w:color="auto" w:fill="auto"/>
          </w:tcPr>
          <w:p w14:paraId="224A51C8" w14:textId="13C671FD" w:rsidR="00EB2ADB" w:rsidRPr="005A6C60" w:rsidRDefault="004C1C79" w:rsidP="004A60CA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10/02/2025</w:t>
            </w:r>
          </w:p>
        </w:tc>
      </w:tr>
      <w:tr w:rsidR="00EB2ADB" w:rsidRPr="005A6C60" w14:paraId="4C03B621" w14:textId="77777777" w:rsidTr="007300FB">
        <w:trPr>
          <w:trHeight w:val="354"/>
        </w:trPr>
        <w:tc>
          <w:tcPr>
            <w:tcW w:w="1323" w:type="dxa"/>
            <w:shd w:val="clear" w:color="auto" w:fill="auto"/>
          </w:tcPr>
          <w:p w14:paraId="0D3785DD" w14:textId="0F04DD69" w:rsidR="00EB2ADB" w:rsidRPr="005A6C60" w:rsidRDefault="009A1B71" w:rsidP="004A60CA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2617363F" w14:textId="543B08BC" w:rsidR="00EB2ADB" w:rsidRPr="005A6C60" w:rsidRDefault="009A1B71" w:rsidP="004A60CA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Harry Morris</w:t>
            </w:r>
          </w:p>
        </w:tc>
        <w:tc>
          <w:tcPr>
            <w:tcW w:w="4962" w:type="dxa"/>
            <w:shd w:val="clear" w:color="auto" w:fill="auto"/>
          </w:tcPr>
          <w:p w14:paraId="6388C2E3" w14:textId="69BE7CF7" w:rsidR="00EB2ADB" w:rsidRPr="005A6C60" w:rsidRDefault="009A1B71" w:rsidP="004A60CA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Revision of document</w:t>
            </w:r>
          </w:p>
        </w:tc>
        <w:tc>
          <w:tcPr>
            <w:tcW w:w="1559" w:type="dxa"/>
            <w:shd w:val="clear" w:color="auto" w:fill="auto"/>
          </w:tcPr>
          <w:p w14:paraId="10A95A8E" w14:textId="28B5F1CC" w:rsidR="00EB2ADB" w:rsidRPr="005A6C60" w:rsidRDefault="009A1B71" w:rsidP="004A60CA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11/02/2025</w:t>
            </w:r>
          </w:p>
        </w:tc>
      </w:tr>
      <w:tr w:rsidR="00EB2ADB" w:rsidRPr="005A6C60" w14:paraId="59108C7F" w14:textId="77777777" w:rsidTr="007300FB">
        <w:trPr>
          <w:trHeight w:val="354"/>
        </w:trPr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14:paraId="456EE0D6" w14:textId="77777777" w:rsidR="00EB2ADB" w:rsidRPr="005A6C60" w:rsidRDefault="00EB2ADB" w:rsidP="004A60CA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49B44B35" w14:textId="77777777" w:rsidR="00EB2ADB" w:rsidRPr="005A6C60" w:rsidRDefault="00EB2ADB" w:rsidP="004A60CA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24B60573" w14:textId="77777777" w:rsidR="00EB2ADB" w:rsidRPr="005A6C60" w:rsidRDefault="00EB2ADB" w:rsidP="004A60CA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FBD468" w14:textId="77777777" w:rsidR="00EB2ADB" w:rsidRPr="005A6C60" w:rsidRDefault="00EB2ADB" w:rsidP="004A60CA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070B12F6" w14:textId="77777777" w:rsidR="0044596C" w:rsidRPr="005A6C60" w:rsidRDefault="0044596C" w:rsidP="004A60CA">
      <w:pPr>
        <w:spacing w:after="0" w:line="240" w:lineRule="auto"/>
        <w:rPr>
          <w:rFonts w:cstheme="minorHAnsi"/>
          <w:b/>
          <w:bCs/>
        </w:rPr>
        <w:sectPr w:rsidR="0044596C" w:rsidRPr="005A6C60" w:rsidSect="00450000">
          <w:headerReference w:type="default" r:id="rId13"/>
          <w:footerReference w:type="default" r:id="rId14"/>
          <w:pgSz w:w="11906" w:h="16838"/>
          <w:pgMar w:top="1440" w:right="992" w:bottom="1440" w:left="992" w:header="709" w:footer="709" w:gutter="0"/>
          <w:cols w:space="708"/>
          <w:docGrid w:linePitch="360"/>
        </w:sectPr>
      </w:pPr>
    </w:p>
    <w:p w14:paraId="6EDC3D16" w14:textId="10C63F25" w:rsidR="0044596C" w:rsidRPr="004A60CA" w:rsidRDefault="0044596C" w:rsidP="004A60CA">
      <w:pPr>
        <w:spacing w:afterLines="50" w:after="120" w:line="240" w:lineRule="auto"/>
        <w:rPr>
          <w:rFonts w:cstheme="minorHAnsi"/>
          <w:b/>
          <w:bCs/>
        </w:rPr>
      </w:pPr>
    </w:p>
    <w:p w14:paraId="1FDA86B2" w14:textId="5A2194D0" w:rsidR="009D69D8" w:rsidRPr="00DF31EC" w:rsidRDefault="009D69D8" w:rsidP="0044596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9D69D8" w:rsidRPr="00DF31EC" w:rsidSect="0044596C">
      <w:pgSz w:w="16838" w:h="11906" w:orient="landscape"/>
      <w:pgMar w:top="992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CB15" w14:textId="77777777" w:rsidR="00F77371" w:rsidRDefault="00F77371" w:rsidP="008131D2">
      <w:pPr>
        <w:spacing w:after="0" w:line="240" w:lineRule="auto"/>
      </w:pPr>
      <w:r>
        <w:separator/>
      </w:r>
    </w:p>
  </w:endnote>
  <w:endnote w:type="continuationSeparator" w:id="0">
    <w:p w14:paraId="53164011" w14:textId="77777777" w:rsidR="00F77371" w:rsidRDefault="00F77371" w:rsidP="0081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3502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AF974B" w14:textId="508DF207" w:rsidR="00BC4164" w:rsidRDefault="00BC416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Procurement Plan</w:t>
            </w:r>
            <w:r w:rsidR="0091519F">
              <w:rPr>
                <w:b/>
                <w:bCs/>
                <w:sz w:val="24"/>
                <w:szCs w:val="24"/>
              </w:rPr>
              <w:t xml:space="preserve"> v</w:t>
            </w:r>
            <w:r w:rsidR="00D95507">
              <w:rPr>
                <w:b/>
                <w:bCs/>
                <w:sz w:val="24"/>
                <w:szCs w:val="24"/>
              </w:rPr>
              <w:t>5</w:t>
            </w:r>
            <w:r w:rsidR="0091519F">
              <w:rPr>
                <w:b/>
                <w:bCs/>
                <w:sz w:val="24"/>
                <w:szCs w:val="24"/>
              </w:rPr>
              <w:t xml:space="preserve"> </w:t>
            </w:r>
            <w:r w:rsidR="00D95507">
              <w:rPr>
                <w:b/>
                <w:bCs/>
                <w:sz w:val="24"/>
                <w:szCs w:val="24"/>
              </w:rPr>
              <w:t>08.02.22</w:t>
            </w:r>
          </w:p>
        </w:sdtContent>
      </w:sdt>
    </w:sdtContent>
  </w:sdt>
  <w:p w14:paraId="24003C20" w14:textId="77777777" w:rsidR="00BC4164" w:rsidRDefault="00BC4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6E75" w14:textId="77777777" w:rsidR="00F77371" w:rsidRDefault="00F77371" w:rsidP="008131D2">
      <w:pPr>
        <w:spacing w:after="0" w:line="240" w:lineRule="auto"/>
      </w:pPr>
      <w:r>
        <w:separator/>
      </w:r>
    </w:p>
  </w:footnote>
  <w:footnote w:type="continuationSeparator" w:id="0">
    <w:p w14:paraId="639734EA" w14:textId="77777777" w:rsidR="00F77371" w:rsidRDefault="00F77371" w:rsidP="0081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754" w14:textId="77777777" w:rsidR="00BC4164" w:rsidRDefault="00BC4164" w:rsidP="008131D2">
    <w:pPr>
      <w:pStyle w:val="Header"/>
      <w:jc w:val="right"/>
      <w:rPr>
        <w:sz w:val="28"/>
      </w:rPr>
    </w:pPr>
    <w:r w:rsidRPr="00094EA1"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5CB3C8ED" wp14:editId="78300795">
          <wp:simplePos x="0" y="0"/>
          <wp:positionH relativeFrom="column">
            <wp:posOffset>55880</wp:posOffset>
          </wp:positionH>
          <wp:positionV relativeFrom="paragraph">
            <wp:posOffset>-158115</wp:posOffset>
          </wp:positionV>
          <wp:extent cx="809625" cy="776605"/>
          <wp:effectExtent l="0" t="0" r="9525" b="4445"/>
          <wp:wrapTight wrapText="bothSides">
            <wp:wrapPolygon edited="0">
              <wp:start x="0" y="0"/>
              <wp:lineTo x="0" y="21194"/>
              <wp:lineTo x="21346" y="21194"/>
              <wp:lineTo x="213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logo-spo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70C5D114">
      <w:rPr>
        <w:sz w:val="28"/>
        <w:szCs w:val="28"/>
      </w:rPr>
      <w:t xml:space="preserve">Cardiff University </w:t>
    </w:r>
  </w:p>
  <w:p w14:paraId="2889966E" w14:textId="41578BAD" w:rsidR="00BC4164" w:rsidRDefault="00BC4164" w:rsidP="008131D2">
    <w:pPr>
      <w:pStyle w:val="Header"/>
      <w:jc w:val="right"/>
      <w:rPr>
        <w:sz w:val="28"/>
      </w:rPr>
    </w:pPr>
    <w:r>
      <w:rPr>
        <w:sz w:val="28"/>
      </w:rPr>
      <w:t>Procurement Services</w:t>
    </w:r>
  </w:p>
  <w:p w14:paraId="2252DCB8" w14:textId="77777777" w:rsidR="00BC4164" w:rsidRDefault="00BC4164" w:rsidP="008131D2">
    <w:pPr>
      <w:pStyle w:val="Header"/>
    </w:pPr>
  </w:p>
  <w:p w14:paraId="36F26174" w14:textId="77777777" w:rsidR="00BC4164" w:rsidRDefault="00BC4164" w:rsidP="008131D2">
    <w:pPr>
      <w:pStyle w:val="Header"/>
    </w:pPr>
  </w:p>
  <w:p w14:paraId="18AFD77C" w14:textId="5FEA34A4" w:rsidR="00BC4164" w:rsidRDefault="00BC4164" w:rsidP="008131D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4B"/>
    <w:multiLevelType w:val="multilevel"/>
    <w:tmpl w:val="4A0AD51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F587E6B"/>
    <w:multiLevelType w:val="hybridMultilevel"/>
    <w:tmpl w:val="579C8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04C2D"/>
    <w:multiLevelType w:val="hybridMultilevel"/>
    <w:tmpl w:val="40AC57B2"/>
    <w:lvl w:ilvl="0" w:tplc="462C5B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2CD2"/>
    <w:multiLevelType w:val="hybridMultilevel"/>
    <w:tmpl w:val="DF30F4D4"/>
    <w:lvl w:ilvl="0" w:tplc="FBE63766">
      <w:start w:val="1"/>
      <w:numFmt w:val="decimal"/>
      <w:lvlText w:val="%1."/>
      <w:lvlJc w:val="left"/>
      <w:pPr>
        <w:ind w:left="786" w:hanging="360"/>
      </w:pPr>
      <w:rPr>
        <w:b/>
        <w:bCs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84E59"/>
    <w:multiLevelType w:val="hybridMultilevel"/>
    <w:tmpl w:val="4F40B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273622">
    <w:abstractNumId w:val="0"/>
  </w:num>
  <w:num w:numId="2" w16cid:durableId="189150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4394013">
    <w:abstractNumId w:val="2"/>
  </w:num>
  <w:num w:numId="4" w16cid:durableId="1813015485">
    <w:abstractNumId w:val="4"/>
  </w:num>
  <w:num w:numId="5" w16cid:durableId="185075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D2"/>
    <w:rsid w:val="00016D3F"/>
    <w:rsid w:val="0004005B"/>
    <w:rsid w:val="0005557D"/>
    <w:rsid w:val="00065207"/>
    <w:rsid w:val="000671AD"/>
    <w:rsid w:val="0006737A"/>
    <w:rsid w:val="00067BCD"/>
    <w:rsid w:val="000852CA"/>
    <w:rsid w:val="00092140"/>
    <w:rsid w:val="00094B8F"/>
    <w:rsid w:val="000B4C33"/>
    <w:rsid w:val="000B68AF"/>
    <w:rsid w:val="000C5FB2"/>
    <w:rsid w:val="000D5988"/>
    <w:rsid w:val="000E1C03"/>
    <w:rsid w:val="000E6DB4"/>
    <w:rsid w:val="000E705E"/>
    <w:rsid w:val="000F1895"/>
    <w:rsid w:val="000F6F10"/>
    <w:rsid w:val="00101E9F"/>
    <w:rsid w:val="0011447E"/>
    <w:rsid w:val="0012091B"/>
    <w:rsid w:val="001211CE"/>
    <w:rsid w:val="001227F1"/>
    <w:rsid w:val="00145A1D"/>
    <w:rsid w:val="001519FC"/>
    <w:rsid w:val="00153A99"/>
    <w:rsid w:val="001546D8"/>
    <w:rsid w:val="00182D7C"/>
    <w:rsid w:val="00186A75"/>
    <w:rsid w:val="00187EA7"/>
    <w:rsid w:val="00192E42"/>
    <w:rsid w:val="001A2B55"/>
    <w:rsid w:val="001C630B"/>
    <w:rsid w:val="001D284C"/>
    <w:rsid w:val="001D292B"/>
    <w:rsid w:val="001D2A3B"/>
    <w:rsid w:val="001D2CF9"/>
    <w:rsid w:val="001E268A"/>
    <w:rsid w:val="001E45F9"/>
    <w:rsid w:val="001E6CA5"/>
    <w:rsid w:val="001F1080"/>
    <w:rsid w:val="001F28D7"/>
    <w:rsid w:val="001F5026"/>
    <w:rsid w:val="001F623D"/>
    <w:rsid w:val="00206FEA"/>
    <w:rsid w:val="00216323"/>
    <w:rsid w:val="00226048"/>
    <w:rsid w:val="0022724D"/>
    <w:rsid w:val="0022767E"/>
    <w:rsid w:val="00230C9C"/>
    <w:rsid w:val="00243EE6"/>
    <w:rsid w:val="00264047"/>
    <w:rsid w:val="00270CAA"/>
    <w:rsid w:val="0028597E"/>
    <w:rsid w:val="002860D4"/>
    <w:rsid w:val="00295055"/>
    <w:rsid w:val="002A2C51"/>
    <w:rsid w:val="002A6AD8"/>
    <w:rsid w:val="002B5461"/>
    <w:rsid w:val="002B61BE"/>
    <w:rsid w:val="002C2324"/>
    <w:rsid w:val="002C2F9E"/>
    <w:rsid w:val="002C4BC2"/>
    <w:rsid w:val="002C7867"/>
    <w:rsid w:val="002D1C17"/>
    <w:rsid w:val="002D4B3C"/>
    <w:rsid w:val="002E0E58"/>
    <w:rsid w:val="002E64B2"/>
    <w:rsid w:val="00301737"/>
    <w:rsid w:val="00306177"/>
    <w:rsid w:val="00321BEE"/>
    <w:rsid w:val="0032338F"/>
    <w:rsid w:val="00323D53"/>
    <w:rsid w:val="00324C43"/>
    <w:rsid w:val="00325037"/>
    <w:rsid w:val="0032627D"/>
    <w:rsid w:val="003304B2"/>
    <w:rsid w:val="003374EE"/>
    <w:rsid w:val="0035012F"/>
    <w:rsid w:val="003559CB"/>
    <w:rsid w:val="00365391"/>
    <w:rsid w:val="00387672"/>
    <w:rsid w:val="003A3F2C"/>
    <w:rsid w:val="003B6B16"/>
    <w:rsid w:val="003C5EB9"/>
    <w:rsid w:val="003D6A82"/>
    <w:rsid w:val="003F3DEB"/>
    <w:rsid w:val="00407514"/>
    <w:rsid w:val="0041552D"/>
    <w:rsid w:val="0042193E"/>
    <w:rsid w:val="00424ADD"/>
    <w:rsid w:val="00430A2C"/>
    <w:rsid w:val="0043390B"/>
    <w:rsid w:val="00442662"/>
    <w:rsid w:val="00442A6F"/>
    <w:rsid w:val="0044445F"/>
    <w:rsid w:val="0044596C"/>
    <w:rsid w:val="00450000"/>
    <w:rsid w:val="00463053"/>
    <w:rsid w:val="004674FA"/>
    <w:rsid w:val="00473CCE"/>
    <w:rsid w:val="00483A39"/>
    <w:rsid w:val="00490A5D"/>
    <w:rsid w:val="004A60CA"/>
    <w:rsid w:val="004B7430"/>
    <w:rsid w:val="004C11B4"/>
    <w:rsid w:val="004C1C79"/>
    <w:rsid w:val="004D231C"/>
    <w:rsid w:val="004F11AF"/>
    <w:rsid w:val="004F3B16"/>
    <w:rsid w:val="004F56A9"/>
    <w:rsid w:val="00500975"/>
    <w:rsid w:val="005042C9"/>
    <w:rsid w:val="00513965"/>
    <w:rsid w:val="00517028"/>
    <w:rsid w:val="00517DAB"/>
    <w:rsid w:val="00526AD0"/>
    <w:rsid w:val="0053787D"/>
    <w:rsid w:val="00544D5C"/>
    <w:rsid w:val="00547755"/>
    <w:rsid w:val="005516E7"/>
    <w:rsid w:val="00552DE1"/>
    <w:rsid w:val="005543EA"/>
    <w:rsid w:val="0055653E"/>
    <w:rsid w:val="00565A65"/>
    <w:rsid w:val="00566141"/>
    <w:rsid w:val="00566F93"/>
    <w:rsid w:val="0057259B"/>
    <w:rsid w:val="00575BB4"/>
    <w:rsid w:val="00576C08"/>
    <w:rsid w:val="005818F0"/>
    <w:rsid w:val="0058197C"/>
    <w:rsid w:val="005946EF"/>
    <w:rsid w:val="00595D4D"/>
    <w:rsid w:val="00596594"/>
    <w:rsid w:val="005A02D7"/>
    <w:rsid w:val="005A6929"/>
    <w:rsid w:val="005A6C60"/>
    <w:rsid w:val="005A6FA1"/>
    <w:rsid w:val="005B1FB7"/>
    <w:rsid w:val="005C2F2A"/>
    <w:rsid w:val="005D3EDC"/>
    <w:rsid w:val="005D4C72"/>
    <w:rsid w:val="005E596F"/>
    <w:rsid w:val="005E5C41"/>
    <w:rsid w:val="005E6F8D"/>
    <w:rsid w:val="005F490C"/>
    <w:rsid w:val="005F52CF"/>
    <w:rsid w:val="0060283E"/>
    <w:rsid w:val="0060408C"/>
    <w:rsid w:val="00620F37"/>
    <w:rsid w:val="00622FAC"/>
    <w:rsid w:val="006249BF"/>
    <w:rsid w:val="00626B63"/>
    <w:rsid w:val="006321A8"/>
    <w:rsid w:val="006420CF"/>
    <w:rsid w:val="006515AF"/>
    <w:rsid w:val="00657C0F"/>
    <w:rsid w:val="00666DA4"/>
    <w:rsid w:val="00682BBE"/>
    <w:rsid w:val="00684775"/>
    <w:rsid w:val="00684AD3"/>
    <w:rsid w:val="00690EC1"/>
    <w:rsid w:val="00692650"/>
    <w:rsid w:val="00696A4F"/>
    <w:rsid w:val="006A2869"/>
    <w:rsid w:val="006B74AC"/>
    <w:rsid w:val="006C19DC"/>
    <w:rsid w:val="006C45F1"/>
    <w:rsid w:val="006C7167"/>
    <w:rsid w:val="006D2F00"/>
    <w:rsid w:val="006D4DF8"/>
    <w:rsid w:val="006D6D15"/>
    <w:rsid w:val="006D7F9B"/>
    <w:rsid w:val="006E64E4"/>
    <w:rsid w:val="00700C29"/>
    <w:rsid w:val="00714962"/>
    <w:rsid w:val="00720B74"/>
    <w:rsid w:val="00721149"/>
    <w:rsid w:val="00721E9D"/>
    <w:rsid w:val="007273FB"/>
    <w:rsid w:val="007300FB"/>
    <w:rsid w:val="00730C1E"/>
    <w:rsid w:val="0074175D"/>
    <w:rsid w:val="007417A1"/>
    <w:rsid w:val="007455FD"/>
    <w:rsid w:val="00747FF6"/>
    <w:rsid w:val="0075232F"/>
    <w:rsid w:val="007705B0"/>
    <w:rsid w:val="00774412"/>
    <w:rsid w:val="00776788"/>
    <w:rsid w:val="00781133"/>
    <w:rsid w:val="00782F19"/>
    <w:rsid w:val="00786054"/>
    <w:rsid w:val="007A0038"/>
    <w:rsid w:val="007A07B5"/>
    <w:rsid w:val="007A43F2"/>
    <w:rsid w:val="007A5208"/>
    <w:rsid w:val="007C7419"/>
    <w:rsid w:val="007D7C31"/>
    <w:rsid w:val="007F0D03"/>
    <w:rsid w:val="007F7C5C"/>
    <w:rsid w:val="0080175F"/>
    <w:rsid w:val="00803EAB"/>
    <w:rsid w:val="00810DC2"/>
    <w:rsid w:val="008131D2"/>
    <w:rsid w:val="00821E83"/>
    <w:rsid w:val="008236F3"/>
    <w:rsid w:val="008266FA"/>
    <w:rsid w:val="008471B8"/>
    <w:rsid w:val="008511BD"/>
    <w:rsid w:val="00853243"/>
    <w:rsid w:val="0085497B"/>
    <w:rsid w:val="00861721"/>
    <w:rsid w:val="00864E8F"/>
    <w:rsid w:val="00871935"/>
    <w:rsid w:val="00876490"/>
    <w:rsid w:val="008813B3"/>
    <w:rsid w:val="0088252C"/>
    <w:rsid w:val="008832F6"/>
    <w:rsid w:val="00896A7F"/>
    <w:rsid w:val="008A31FB"/>
    <w:rsid w:val="008A3D94"/>
    <w:rsid w:val="008A4C65"/>
    <w:rsid w:val="008B4898"/>
    <w:rsid w:val="008C269F"/>
    <w:rsid w:val="008C2835"/>
    <w:rsid w:val="008C2F42"/>
    <w:rsid w:val="008C3CD9"/>
    <w:rsid w:val="008D09BD"/>
    <w:rsid w:val="008D0C20"/>
    <w:rsid w:val="008D2EE2"/>
    <w:rsid w:val="008D3E9E"/>
    <w:rsid w:val="008D6DE0"/>
    <w:rsid w:val="008E1340"/>
    <w:rsid w:val="008F6CAB"/>
    <w:rsid w:val="008F7682"/>
    <w:rsid w:val="00902539"/>
    <w:rsid w:val="00907156"/>
    <w:rsid w:val="00911F4D"/>
    <w:rsid w:val="00914BD8"/>
    <w:rsid w:val="0091519F"/>
    <w:rsid w:val="00930B87"/>
    <w:rsid w:val="00931173"/>
    <w:rsid w:val="009376FE"/>
    <w:rsid w:val="009461F8"/>
    <w:rsid w:val="009478EA"/>
    <w:rsid w:val="00954789"/>
    <w:rsid w:val="00956982"/>
    <w:rsid w:val="00957915"/>
    <w:rsid w:val="00965F9C"/>
    <w:rsid w:val="009736DD"/>
    <w:rsid w:val="009739BE"/>
    <w:rsid w:val="009827E4"/>
    <w:rsid w:val="00986CA9"/>
    <w:rsid w:val="00987AED"/>
    <w:rsid w:val="00987BE1"/>
    <w:rsid w:val="00995AC3"/>
    <w:rsid w:val="009A1B71"/>
    <w:rsid w:val="009A3C2F"/>
    <w:rsid w:val="009A47F7"/>
    <w:rsid w:val="009A4ECE"/>
    <w:rsid w:val="009B0ABD"/>
    <w:rsid w:val="009C1E20"/>
    <w:rsid w:val="009D1FE1"/>
    <w:rsid w:val="009D69D8"/>
    <w:rsid w:val="009D7D86"/>
    <w:rsid w:val="009F4B2A"/>
    <w:rsid w:val="009F6548"/>
    <w:rsid w:val="00A01541"/>
    <w:rsid w:val="00A02506"/>
    <w:rsid w:val="00A203F5"/>
    <w:rsid w:val="00A33856"/>
    <w:rsid w:val="00A4182F"/>
    <w:rsid w:val="00A51D2B"/>
    <w:rsid w:val="00A56688"/>
    <w:rsid w:val="00A65454"/>
    <w:rsid w:val="00A722AD"/>
    <w:rsid w:val="00A74EB9"/>
    <w:rsid w:val="00A848D7"/>
    <w:rsid w:val="00A861B4"/>
    <w:rsid w:val="00A91257"/>
    <w:rsid w:val="00A91D7B"/>
    <w:rsid w:val="00AA1BCC"/>
    <w:rsid w:val="00AA1F01"/>
    <w:rsid w:val="00AA41DB"/>
    <w:rsid w:val="00AA4799"/>
    <w:rsid w:val="00AA4E41"/>
    <w:rsid w:val="00AA62A6"/>
    <w:rsid w:val="00AA7D23"/>
    <w:rsid w:val="00AB1B6C"/>
    <w:rsid w:val="00AB69B7"/>
    <w:rsid w:val="00AC2777"/>
    <w:rsid w:val="00AD0A85"/>
    <w:rsid w:val="00AF5212"/>
    <w:rsid w:val="00AF710C"/>
    <w:rsid w:val="00B00BC4"/>
    <w:rsid w:val="00B152D1"/>
    <w:rsid w:val="00B2579D"/>
    <w:rsid w:val="00B33920"/>
    <w:rsid w:val="00B37DB7"/>
    <w:rsid w:val="00B525DF"/>
    <w:rsid w:val="00B57071"/>
    <w:rsid w:val="00B62ABD"/>
    <w:rsid w:val="00B67A08"/>
    <w:rsid w:val="00B80543"/>
    <w:rsid w:val="00B8331F"/>
    <w:rsid w:val="00BA4F86"/>
    <w:rsid w:val="00BA7B90"/>
    <w:rsid w:val="00BB2E8A"/>
    <w:rsid w:val="00BC064D"/>
    <w:rsid w:val="00BC4164"/>
    <w:rsid w:val="00BC6CFB"/>
    <w:rsid w:val="00BD47D6"/>
    <w:rsid w:val="00BD7604"/>
    <w:rsid w:val="00BF2098"/>
    <w:rsid w:val="00BF34B1"/>
    <w:rsid w:val="00BF5EB4"/>
    <w:rsid w:val="00BF7E40"/>
    <w:rsid w:val="00C010D8"/>
    <w:rsid w:val="00C05808"/>
    <w:rsid w:val="00C12DDB"/>
    <w:rsid w:val="00C15F3C"/>
    <w:rsid w:val="00C264B3"/>
    <w:rsid w:val="00C320FB"/>
    <w:rsid w:val="00C373AD"/>
    <w:rsid w:val="00C41BC8"/>
    <w:rsid w:val="00C427BF"/>
    <w:rsid w:val="00C43B9B"/>
    <w:rsid w:val="00C662EC"/>
    <w:rsid w:val="00C738F7"/>
    <w:rsid w:val="00C74297"/>
    <w:rsid w:val="00C9566C"/>
    <w:rsid w:val="00CA1632"/>
    <w:rsid w:val="00CB2CF1"/>
    <w:rsid w:val="00CB663F"/>
    <w:rsid w:val="00CB6E1B"/>
    <w:rsid w:val="00CC061B"/>
    <w:rsid w:val="00CC6D6E"/>
    <w:rsid w:val="00CD6B62"/>
    <w:rsid w:val="00CE29B5"/>
    <w:rsid w:val="00CE39FD"/>
    <w:rsid w:val="00CF217A"/>
    <w:rsid w:val="00CF3FD9"/>
    <w:rsid w:val="00D068E5"/>
    <w:rsid w:val="00D10C7A"/>
    <w:rsid w:val="00D1389C"/>
    <w:rsid w:val="00D16996"/>
    <w:rsid w:val="00D36084"/>
    <w:rsid w:val="00D4222A"/>
    <w:rsid w:val="00D50014"/>
    <w:rsid w:val="00D61C3B"/>
    <w:rsid w:val="00D62F71"/>
    <w:rsid w:val="00D63B6F"/>
    <w:rsid w:val="00D67696"/>
    <w:rsid w:val="00D727EB"/>
    <w:rsid w:val="00D770A4"/>
    <w:rsid w:val="00D81FD0"/>
    <w:rsid w:val="00D9188D"/>
    <w:rsid w:val="00D95507"/>
    <w:rsid w:val="00DA2018"/>
    <w:rsid w:val="00DB6367"/>
    <w:rsid w:val="00DC0A33"/>
    <w:rsid w:val="00DC1790"/>
    <w:rsid w:val="00DC291D"/>
    <w:rsid w:val="00DC37AF"/>
    <w:rsid w:val="00DC43A1"/>
    <w:rsid w:val="00DD020B"/>
    <w:rsid w:val="00DD7E1F"/>
    <w:rsid w:val="00DE0454"/>
    <w:rsid w:val="00DE4A64"/>
    <w:rsid w:val="00DF0F98"/>
    <w:rsid w:val="00DF17A5"/>
    <w:rsid w:val="00DF31EC"/>
    <w:rsid w:val="00E0167E"/>
    <w:rsid w:val="00E0270D"/>
    <w:rsid w:val="00E03329"/>
    <w:rsid w:val="00E10FFF"/>
    <w:rsid w:val="00E1131B"/>
    <w:rsid w:val="00E13FFD"/>
    <w:rsid w:val="00E20C7E"/>
    <w:rsid w:val="00E30925"/>
    <w:rsid w:val="00E340AB"/>
    <w:rsid w:val="00E42594"/>
    <w:rsid w:val="00E50480"/>
    <w:rsid w:val="00E519B3"/>
    <w:rsid w:val="00E53538"/>
    <w:rsid w:val="00E56DD5"/>
    <w:rsid w:val="00E65AA0"/>
    <w:rsid w:val="00E918BE"/>
    <w:rsid w:val="00E94A4E"/>
    <w:rsid w:val="00EA733C"/>
    <w:rsid w:val="00EA7F5A"/>
    <w:rsid w:val="00EB2ADB"/>
    <w:rsid w:val="00EC77DD"/>
    <w:rsid w:val="00ED3DBB"/>
    <w:rsid w:val="00EE03C2"/>
    <w:rsid w:val="00EE39D9"/>
    <w:rsid w:val="00EF13B5"/>
    <w:rsid w:val="00EF3DB6"/>
    <w:rsid w:val="00EF59C4"/>
    <w:rsid w:val="00EF5B9B"/>
    <w:rsid w:val="00F040FD"/>
    <w:rsid w:val="00F1190E"/>
    <w:rsid w:val="00F16AD4"/>
    <w:rsid w:val="00F35016"/>
    <w:rsid w:val="00F35361"/>
    <w:rsid w:val="00F37747"/>
    <w:rsid w:val="00F45C00"/>
    <w:rsid w:val="00F51775"/>
    <w:rsid w:val="00F63AD3"/>
    <w:rsid w:val="00F714F5"/>
    <w:rsid w:val="00F72C72"/>
    <w:rsid w:val="00F77014"/>
    <w:rsid w:val="00F77371"/>
    <w:rsid w:val="00F81A58"/>
    <w:rsid w:val="00F8478D"/>
    <w:rsid w:val="00F8508C"/>
    <w:rsid w:val="00F93FD1"/>
    <w:rsid w:val="00FA1E7C"/>
    <w:rsid w:val="00FA4A6F"/>
    <w:rsid w:val="00FA5B8C"/>
    <w:rsid w:val="00FB2990"/>
    <w:rsid w:val="00FB5A4C"/>
    <w:rsid w:val="00FB6D67"/>
    <w:rsid w:val="00FC4408"/>
    <w:rsid w:val="00FE6691"/>
    <w:rsid w:val="00FF096A"/>
    <w:rsid w:val="00FF0B82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B77C"/>
  <w15:chartTrackingRefBased/>
  <w15:docId w15:val="{694AE205-EC51-4732-91FF-15BB2B72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8AF"/>
  </w:style>
  <w:style w:type="paragraph" w:styleId="Heading1">
    <w:name w:val="heading 1"/>
    <w:basedOn w:val="Normal"/>
    <w:next w:val="Normal"/>
    <w:link w:val="Heading1Char"/>
    <w:qFormat/>
    <w:rsid w:val="00803EAB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D2"/>
  </w:style>
  <w:style w:type="paragraph" w:styleId="Footer">
    <w:name w:val="footer"/>
    <w:basedOn w:val="Normal"/>
    <w:link w:val="FooterChar"/>
    <w:uiPriority w:val="99"/>
    <w:unhideWhenUsed/>
    <w:rsid w:val="00813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D2"/>
  </w:style>
  <w:style w:type="table" w:styleId="TableGrid">
    <w:name w:val="Table Grid"/>
    <w:basedOn w:val="TableNormal"/>
    <w:rsid w:val="00813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6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C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C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C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6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03EAB"/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A41D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1D2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5D4C72"/>
    <w:pPr>
      <w:spacing w:after="0" w:line="240" w:lineRule="auto"/>
    </w:pPr>
    <w:rPr>
      <w:rFonts w:ascii="Arial Black" w:eastAsia="Times New Roman" w:hAnsi="Arial Black" w:cs="Times New Roman"/>
      <w:color w:val="C0C0C0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AF1D4BBF425459EBE6FA8B1FF8B4C" ma:contentTypeVersion="12" ma:contentTypeDescription="Create a new document." ma:contentTypeScope="" ma:versionID="424d88eb7cb468bfc12eb5865bcf4686">
  <xsd:schema xmlns:xsd="http://www.w3.org/2001/XMLSchema" xmlns:xs="http://www.w3.org/2001/XMLSchema" xmlns:p="http://schemas.microsoft.com/office/2006/metadata/properties" xmlns:ns2="3fafe465-44d7-4ba8-942e-4c6788257602" xmlns:ns3="78bf77fb-d500-4b8d-8ad7-5de46a999a26" targetNamespace="http://schemas.microsoft.com/office/2006/metadata/properties" ma:root="true" ma:fieldsID="78bee26b97ebf9bdd6c645e9f0bbaba5" ns2:_="" ns3:_="">
    <xsd:import namespace="3fafe465-44d7-4ba8-942e-4c6788257602"/>
    <xsd:import namespace="78bf77fb-d500-4b8d-8ad7-5de46a999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fe465-44d7-4ba8-942e-4c6788257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77fb-d500-4b8d-8ad7-5de46a999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FF6EA-A47B-4AC7-BE15-4664619F8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72ED78-8B06-45DC-B081-49ECF7755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53C1C-61AF-49FB-8197-08A25000F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fe465-44d7-4ba8-942e-4c6788257602"/>
    <ds:schemaRef ds:uri="78bf77fb-d500-4b8d-8ad7-5de46a999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C293F-D912-42C8-A2B6-9E5D21485AB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davies</dc:creator>
  <cp:keywords/>
  <dc:description/>
  <cp:lastModifiedBy>Harry Morris</cp:lastModifiedBy>
  <cp:revision>35</cp:revision>
  <dcterms:created xsi:type="dcterms:W3CDTF">2023-12-12T16:03:00Z</dcterms:created>
  <dcterms:modified xsi:type="dcterms:W3CDTF">2025-03-19T14:47:00Z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0x010100852AF1D4BBF425459EBE6FA8B1FF8B4C</vt:lpwstr>
  </property>
</Properties>
</file>