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266A" w14:textId="77777777" w:rsidR="00111767" w:rsidRPr="00B943FF" w:rsidRDefault="00CB1DED" w:rsidP="00183E8D">
      <w:pPr>
        <w:rPr>
          <w:rFonts w:ascii="Arial" w:hAnsi="Arial" w:cs="Arial"/>
        </w:rPr>
      </w:pPr>
      <w:r>
        <w:rPr>
          <w:sz w:val="28"/>
          <w:szCs w:val="28"/>
        </w:rPr>
        <w:tab/>
      </w:r>
      <w:r>
        <w:rPr>
          <w:sz w:val="28"/>
          <w:szCs w:val="28"/>
        </w:rPr>
        <w:tab/>
      </w:r>
      <w:r>
        <w:rPr>
          <w:sz w:val="28"/>
          <w:szCs w:val="28"/>
        </w:rPr>
        <w:tab/>
      </w:r>
      <w:r>
        <w:rPr>
          <w:sz w:val="28"/>
          <w:szCs w:val="28"/>
        </w:rPr>
        <w:tab/>
      </w:r>
    </w:p>
    <w:p w14:paraId="097195F7" w14:textId="77777777" w:rsidR="00C03F13" w:rsidRPr="00B943FF" w:rsidRDefault="00C03F13" w:rsidP="00D16274">
      <w:pPr>
        <w:pStyle w:val="NoSpacing"/>
        <w:rPr>
          <w:rFonts w:ascii="Arial" w:hAnsi="Arial" w:cs="Arial"/>
          <w:sz w:val="22"/>
          <w:szCs w:val="22"/>
        </w:rPr>
      </w:pPr>
    </w:p>
    <w:p w14:paraId="6592D5F5" w14:textId="55F1E68A" w:rsidR="00111767" w:rsidRPr="007810BA" w:rsidRDefault="00D75E51" w:rsidP="00D16274">
      <w:pPr>
        <w:pStyle w:val="NoSpacing"/>
        <w:rPr>
          <w:rFonts w:ascii="Arial" w:hAnsi="Arial" w:cs="Arial"/>
          <w:b/>
          <w:sz w:val="22"/>
          <w:szCs w:val="22"/>
        </w:rPr>
      </w:pPr>
      <w:r>
        <w:rPr>
          <w:rFonts w:ascii="Arial" w:hAnsi="Arial" w:cs="Arial"/>
          <w:b/>
          <w:sz w:val="22"/>
          <w:szCs w:val="22"/>
        </w:rPr>
        <w:t xml:space="preserve">Questionnaire 2a – Adherence to Specification </w:t>
      </w:r>
    </w:p>
    <w:p w14:paraId="4D26FECE" w14:textId="77777777" w:rsidR="00706F8F" w:rsidRDefault="00706F8F" w:rsidP="00111767">
      <w:pPr>
        <w:pStyle w:val="NoSpacing"/>
        <w:rPr>
          <w:rFonts w:ascii="Arial" w:hAnsi="Arial" w:cs="Arial"/>
          <w:sz w:val="22"/>
          <w:szCs w:val="22"/>
        </w:rPr>
      </w:pPr>
    </w:p>
    <w:p w14:paraId="6C0A06C4" w14:textId="65369CEA" w:rsidR="00CB561A" w:rsidRPr="00146A8D" w:rsidRDefault="00C55DC8" w:rsidP="00CB561A">
      <w:pPr>
        <w:pStyle w:val="NoSpacing"/>
        <w:rPr>
          <w:rFonts w:ascii="Arial" w:hAnsi="Arial" w:cs="Arial"/>
          <w:b/>
          <w:sz w:val="22"/>
          <w:szCs w:val="22"/>
          <w:highlight w:val="yellow"/>
          <w:u w:val="single"/>
        </w:rPr>
      </w:pPr>
      <w:r w:rsidRPr="00C55DC8">
        <w:rPr>
          <w:rFonts w:ascii="Arial" w:hAnsi="Arial" w:cs="Arial"/>
          <w:b/>
          <w:sz w:val="22"/>
          <w:szCs w:val="22"/>
          <w:u w:val="single"/>
        </w:rPr>
        <w:t>Resuscitation Training</w:t>
      </w:r>
      <w:r>
        <w:rPr>
          <w:rFonts w:ascii="Arial" w:hAnsi="Arial" w:cs="Arial"/>
          <w:b/>
          <w:sz w:val="22"/>
          <w:szCs w:val="22"/>
          <w:highlight w:val="yellow"/>
          <w:u w:val="single"/>
        </w:rPr>
        <w:t xml:space="preserve"> </w:t>
      </w:r>
    </w:p>
    <w:p w14:paraId="57B2768D" w14:textId="628C228F" w:rsidR="00CB561A" w:rsidRPr="00D75E51" w:rsidRDefault="00CB561A" w:rsidP="00CB561A">
      <w:pPr>
        <w:pStyle w:val="NoSpacing"/>
        <w:rPr>
          <w:rFonts w:ascii="Arial" w:hAnsi="Arial" w:cs="Arial"/>
          <w:b/>
          <w:sz w:val="22"/>
          <w:szCs w:val="22"/>
          <w:u w:val="single"/>
        </w:rPr>
      </w:pPr>
      <w:r w:rsidRPr="00D75E51">
        <w:rPr>
          <w:rFonts w:ascii="Arial" w:hAnsi="Arial" w:cs="Arial"/>
          <w:b/>
          <w:sz w:val="22"/>
          <w:szCs w:val="22"/>
          <w:u w:val="single"/>
        </w:rPr>
        <w:t>Contract Ref</w:t>
      </w:r>
      <w:r w:rsidRPr="007A7590">
        <w:rPr>
          <w:rFonts w:ascii="Arial" w:hAnsi="Arial" w:cs="Arial"/>
          <w:b/>
          <w:sz w:val="22"/>
          <w:szCs w:val="22"/>
          <w:u w:val="single"/>
        </w:rPr>
        <w:t xml:space="preserve">: </w:t>
      </w:r>
      <w:r w:rsidR="007A7590" w:rsidRPr="007A7590">
        <w:rPr>
          <w:rFonts w:ascii="Arial" w:hAnsi="Arial" w:cs="Arial"/>
          <w:b/>
          <w:sz w:val="22"/>
          <w:szCs w:val="22"/>
          <w:u w:val="single"/>
        </w:rPr>
        <w:t>C408378</w:t>
      </w:r>
      <w:r w:rsidRPr="00D75E51">
        <w:rPr>
          <w:rFonts w:ascii="Arial" w:hAnsi="Arial" w:cs="Arial"/>
          <w:b/>
          <w:sz w:val="22"/>
          <w:szCs w:val="22"/>
          <w:u w:val="single"/>
        </w:rPr>
        <w:t xml:space="preserve"> </w:t>
      </w:r>
    </w:p>
    <w:p w14:paraId="747AE80B" w14:textId="21E1CE6C" w:rsidR="00CB561A" w:rsidRPr="00B943FF" w:rsidRDefault="00CB561A" w:rsidP="00CB561A">
      <w:pPr>
        <w:pStyle w:val="NoSpacing"/>
        <w:rPr>
          <w:rFonts w:ascii="Arial" w:hAnsi="Arial" w:cs="Arial"/>
          <w:b/>
          <w:sz w:val="22"/>
          <w:szCs w:val="22"/>
          <w:u w:val="single"/>
        </w:rPr>
      </w:pPr>
      <w:r w:rsidRPr="00C55DC8">
        <w:rPr>
          <w:rFonts w:ascii="Arial" w:hAnsi="Arial" w:cs="Arial"/>
          <w:b/>
          <w:sz w:val="22"/>
          <w:szCs w:val="22"/>
          <w:u w:val="single"/>
        </w:rPr>
        <w:t>Our</w:t>
      </w:r>
      <w:r w:rsidR="00354E24" w:rsidRPr="00C55DC8">
        <w:rPr>
          <w:rFonts w:ascii="Arial" w:hAnsi="Arial" w:cs="Arial"/>
          <w:b/>
          <w:sz w:val="22"/>
          <w:szCs w:val="22"/>
          <w:u w:val="single"/>
        </w:rPr>
        <w:t xml:space="preserve"> Ref: PROC.</w:t>
      </w:r>
      <w:r w:rsidR="00146A8D" w:rsidRPr="00C55DC8">
        <w:rPr>
          <w:rFonts w:ascii="Arial" w:hAnsi="Arial" w:cs="Arial"/>
          <w:b/>
          <w:sz w:val="22"/>
          <w:szCs w:val="22"/>
          <w:u w:val="single"/>
        </w:rPr>
        <w:t>9</w:t>
      </w:r>
      <w:r w:rsidR="00354E24" w:rsidRPr="00C55DC8">
        <w:rPr>
          <w:rFonts w:ascii="Arial" w:hAnsi="Arial" w:cs="Arial"/>
          <w:b/>
          <w:sz w:val="22"/>
          <w:szCs w:val="22"/>
          <w:u w:val="single"/>
        </w:rPr>
        <w:t>0.0</w:t>
      </w:r>
      <w:r w:rsidR="00146A8D" w:rsidRPr="00C55DC8">
        <w:rPr>
          <w:rFonts w:ascii="Arial" w:hAnsi="Arial" w:cs="Arial"/>
          <w:b/>
          <w:sz w:val="22"/>
          <w:szCs w:val="22"/>
          <w:u w:val="single"/>
        </w:rPr>
        <w:t>0</w:t>
      </w:r>
      <w:r w:rsidR="00354E24" w:rsidRPr="00C55DC8">
        <w:rPr>
          <w:rFonts w:ascii="Arial" w:hAnsi="Arial" w:cs="Arial"/>
          <w:b/>
          <w:sz w:val="22"/>
          <w:szCs w:val="22"/>
          <w:u w:val="single"/>
        </w:rPr>
        <w:t>2</w:t>
      </w:r>
      <w:r w:rsidR="00146A8D" w:rsidRPr="00C55DC8">
        <w:rPr>
          <w:rFonts w:ascii="Arial" w:hAnsi="Arial" w:cs="Arial"/>
          <w:b/>
          <w:sz w:val="22"/>
          <w:szCs w:val="22"/>
          <w:u w:val="single"/>
        </w:rPr>
        <w:t>6</w:t>
      </w:r>
      <w:r w:rsidRPr="00C55DC8">
        <w:rPr>
          <w:rFonts w:ascii="Arial" w:hAnsi="Arial" w:cs="Arial"/>
          <w:b/>
          <w:sz w:val="22"/>
          <w:szCs w:val="22"/>
          <w:u w:val="single"/>
        </w:rPr>
        <w:t xml:space="preserve">, </w:t>
      </w:r>
    </w:p>
    <w:p w14:paraId="2A24F29F" w14:textId="77777777" w:rsidR="00AC3D6E" w:rsidRPr="00183E8D" w:rsidRDefault="00AC3D6E" w:rsidP="00F332D4">
      <w:pPr>
        <w:spacing w:after="240" w:line="240" w:lineRule="auto"/>
        <w:jc w:val="both"/>
        <w:rPr>
          <w:rFonts w:ascii="Arial" w:eastAsia="Times New Roman" w:hAnsi="Arial" w:cs="Times New Roman"/>
          <w:b/>
          <w:color w:val="000000" w:themeColor="text1"/>
          <w:lang w:eastAsia="en-GB"/>
        </w:rPr>
      </w:pPr>
    </w:p>
    <w:tbl>
      <w:tblPr>
        <w:tblStyle w:val="TableGrid"/>
        <w:tblW w:w="10774" w:type="dxa"/>
        <w:tblInd w:w="-743" w:type="dxa"/>
        <w:tblLook w:val="04A0" w:firstRow="1" w:lastRow="0" w:firstColumn="1" w:lastColumn="0" w:noHBand="0" w:noVBand="1"/>
      </w:tblPr>
      <w:tblGrid>
        <w:gridCol w:w="5387"/>
        <w:gridCol w:w="5387"/>
      </w:tblGrid>
      <w:tr w:rsidR="00183E8D" w14:paraId="51FC6135" w14:textId="77777777" w:rsidTr="00183E8D">
        <w:tc>
          <w:tcPr>
            <w:tcW w:w="10774" w:type="dxa"/>
            <w:gridSpan w:val="2"/>
          </w:tcPr>
          <w:p w14:paraId="667C84B7" w14:textId="3A40C0AD" w:rsidR="00183E8D" w:rsidRDefault="008C5F83" w:rsidP="00F332D4">
            <w:pPr>
              <w:spacing w:after="240"/>
              <w:jc w:val="both"/>
              <w:rPr>
                <w:rFonts w:ascii="Arial" w:hAnsi="Arial"/>
                <w:color w:val="000000" w:themeColor="text1"/>
              </w:rPr>
            </w:pPr>
            <w:r>
              <w:rPr>
                <w:rFonts w:ascii="Arial" w:hAnsi="Arial"/>
                <w:b/>
                <w:color w:val="000000" w:themeColor="text1"/>
              </w:rPr>
              <w:t>RESUSCITATION TRAINING</w:t>
            </w:r>
            <w:r w:rsidR="00183E8D" w:rsidRPr="00183E8D">
              <w:rPr>
                <w:rFonts w:ascii="Arial" w:hAnsi="Arial"/>
                <w:b/>
                <w:color w:val="000000" w:themeColor="text1"/>
              </w:rPr>
              <w:t xml:space="preserve"> TECHNICAL RESPONSE</w:t>
            </w:r>
            <w:r w:rsidR="007810BA">
              <w:rPr>
                <w:rFonts w:ascii="Arial" w:hAnsi="Arial"/>
                <w:b/>
                <w:color w:val="000000" w:themeColor="text1"/>
              </w:rPr>
              <w:t xml:space="preserve"> </w:t>
            </w:r>
            <w:r w:rsidR="00876B5B">
              <w:rPr>
                <w:rFonts w:ascii="Arial" w:hAnsi="Arial"/>
                <w:b/>
                <w:color w:val="000000" w:themeColor="text1"/>
              </w:rPr>
              <w:t>35%</w:t>
            </w:r>
          </w:p>
        </w:tc>
      </w:tr>
      <w:tr w:rsidR="00CB561A" w14:paraId="16F70871" w14:textId="77777777" w:rsidTr="00FB612C">
        <w:tc>
          <w:tcPr>
            <w:tcW w:w="5387" w:type="dxa"/>
          </w:tcPr>
          <w:p w14:paraId="5A2A0A57" w14:textId="6C1A6629" w:rsidR="00CB561A" w:rsidRPr="004941B4" w:rsidRDefault="00CB561A"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Name of Supplier:</w:t>
            </w:r>
          </w:p>
        </w:tc>
        <w:tc>
          <w:tcPr>
            <w:tcW w:w="5387" w:type="dxa"/>
          </w:tcPr>
          <w:p w14:paraId="19DB8E83" w14:textId="77777777" w:rsidR="00CB561A" w:rsidRPr="007372DE" w:rsidRDefault="00946760" w:rsidP="00F332D4">
            <w:pPr>
              <w:spacing w:after="240"/>
              <w:jc w:val="both"/>
              <w:rPr>
                <w:rFonts w:ascii="Arial" w:hAnsi="Arial"/>
                <w:color w:val="548DD4" w:themeColor="text2" w:themeTint="99"/>
              </w:rPr>
            </w:pPr>
            <w:r w:rsidRPr="007372DE">
              <w:rPr>
                <w:rFonts w:ascii="Arial" w:hAnsi="Arial"/>
                <w:color w:val="548DD4" w:themeColor="text2" w:themeTint="99"/>
              </w:rPr>
              <w:t>(State here)</w:t>
            </w:r>
          </w:p>
        </w:tc>
      </w:tr>
      <w:tr w:rsidR="00946760" w14:paraId="4882EA6B" w14:textId="77777777" w:rsidTr="00FB612C">
        <w:tc>
          <w:tcPr>
            <w:tcW w:w="5387" w:type="dxa"/>
          </w:tcPr>
          <w:p w14:paraId="1E0B8A27" w14:textId="5D554968" w:rsidR="00946760" w:rsidRPr="004941B4" w:rsidRDefault="00946760"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I/We accept the conditions of submitting a no obligation offer /offe</w:t>
            </w:r>
            <w:r w:rsidR="00183E8D" w:rsidRPr="004941B4">
              <w:rPr>
                <w:rFonts w:ascii="Arial" w:hAnsi="Arial"/>
                <w:color w:val="000000" w:themeColor="text1"/>
              </w:rPr>
              <w:t>r(s) to the Trust for consideration</w:t>
            </w:r>
          </w:p>
        </w:tc>
        <w:tc>
          <w:tcPr>
            <w:tcW w:w="5387" w:type="dxa"/>
          </w:tcPr>
          <w:p w14:paraId="3BBFCF5D" w14:textId="77777777" w:rsidR="00946760" w:rsidRPr="007372DE" w:rsidRDefault="00946760" w:rsidP="00F332D4">
            <w:pPr>
              <w:spacing w:after="240"/>
              <w:jc w:val="both"/>
              <w:rPr>
                <w:rFonts w:ascii="Arial" w:hAnsi="Arial"/>
                <w:color w:val="548DD4" w:themeColor="text2" w:themeTint="99"/>
              </w:rPr>
            </w:pPr>
            <w:r w:rsidRPr="007372DE">
              <w:rPr>
                <w:rFonts w:ascii="Arial" w:hAnsi="Arial"/>
                <w:color w:val="548DD4" w:themeColor="text2" w:themeTint="99"/>
              </w:rPr>
              <w:t>Yes/No*</w:t>
            </w:r>
          </w:p>
        </w:tc>
      </w:tr>
      <w:tr w:rsidR="00CB561A" w14:paraId="2C890974" w14:textId="77777777" w:rsidTr="00FB612C">
        <w:tc>
          <w:tcPr>
            <w:tcW w:w="5387" w:type="dxa"/>
          </w:tcPr>
          <w:p w14:paraId="5605B281" w14:textId="51790BF3" w:rsidR="00CB561A" w:rsidRPr="004941B4" w:rsidRDefault="003C760D"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shall provide the below course places, over a 12-month period: </w:t>
            </w:r>
          </w:p>
          <w:p w14:paraId="339DEDC2" w14:textId="77777777" w:rsidR="003C760D" w:rsidRPr="003C760D" w:rsidRDefault="003C760D" w:rsidP="00D71F76">
            <w:pPr>
              <w:pStyle w:val="ListParagraph"/>
              <w:numPr>
                <w:ilvl w:val="0"/>
                <w:numId w:val="15"/>
              </w:numPr>
              <w:spacing w:after="240"/>
              <w:jc w:val="both"/>
              <w:rPr>
                <w:rFonts w:ascii="Arial" w:hAnsi="Arial"/>
                <w:color w:val="000000" w:themeColor="text1"/>
              </w:rPr>
            </w:pPr>
            <w:r w:rsidRPr="003C760D">
              <w:rPr>
                <w:rFonts w:ascii="Arial" w:hAnsi="Arial"/>
                <w:color w:val="000000" w:themeColor="text1"/>
              </w:rPr>
              <w:t>1800 Immediate Life Support (ILS) course places </w:t>
            </w:r>
          </w:p>
          <w:p w14:paraId="4CB6FEB9" w14:textId="77777777" w:rsidR="003C760D" w:rsidRPr="003C760D" w:rsidRDefault="003C760D" w:rsidP="00D71F76">
            <w:pPr>
              <w:pStyle w:val="ListParagraph"/>
              <w:numPr>
                <w:ilvl w:val="0"/>
                <w:numId w:val="15"/>
              </w:numPr>
              <w:spacing w:after="240"/>
              <w:jc w:val="both"/>
              <w:rPr>
                <w:rFonts w:ascii="Arial" w:hAnsi="Arial"/>
                <w:color w:val="000000" w:themeColor="text1"/>
              </w:rPr>
            </w:pPr>
            <w:r w:rsidRPr="003C760D">
              <w:rPr>
                <w:rFonts w:ascii="Arial" w:hAnsi="Arial"/>
                <w:color w:val="000000" w:themeColor="text1"/>
              </w:rPr>
              <w:t>100 Mother and Baby Life Support places</w:t>
            </w:r>
          </w:p>
          <w:p w14:paraId="2356D17B" w14:textId="77777777" w:rsidR="003C760D" w:rsidRPr="003C760D" w:rsidRDefault="003C760D" w:rsidP="00D71F76">
            <w:pPr>
              <w:pStyle w:val="ListParagraph"/>
              <w:numPr>
                <w:ilvl w:val="0"/>
                <w:numId w:val="15"/>
              </w:numPr>
              <w:spacing w:after="240"/>
              <w:jc w:val="both"/>
              <w:rPr>
                <w:rFonts w:ascii="Arial" w:hAnsi="Arial"/>
                <w:color w:val="000000" w:themeColor="text1"/>
              </w:rPr>
            </w:pPr>
            <w:r w:rsidRPr="003C760D">
              <w:rPr>
                <w:rFonts w:ascii="Arial" w:hAnsi="Arial"/>
                <w:color w:val="000000" w:themeColor="text1"/>
              </w:rPr>
              <w:t xml:space="preserve">100 Adult and Paediatric Emergency Life Support places </w:t>
            </w:r>
          </w:p>
          <w:p w14:paraId="6167D739" w14:textId="59073B92" w:rsidR="003C760D" w:rsidRPr="003C760D" w:rsidRDefault="003C760D" w:rsidP="00D71F76">
            <w:pPr>
              <w:pStyle w:val="ListParagraph"/>
              <w:numPr>
                <w:ilvl w:val="0"/>
                <w:numId w:val="15"/>
              </w:numPr>
              <w:spacing w:after="240"/>
              <w:jc w:val="both"/>
              <w:rPr>
                <w:rFonts w:ascii="Arial" w:hAnsi="Arial"/>
                <w:color w:val="000000" w:themeColor="text1"/>
              </w:rPr>
            </w:pPr>
            <w:r w:rsidRPr="003C760D">
              <w:rPr>
                <w:rFonts w:ascii="Arial" w:hAnsi="Arial"/>
                <w:color w:val="000000" w:themeColor="text1"/>
              </w:rPr>
              <w:t>85 Casualty Simulation session places</w:t>
            </w:r>
          </w:p>
        </w:tc>
        <w:tc>
          <w:tcPr>
            <w:tcW w:w="5387" w:type="dxa"/>
          </w:tcPr>
          <w:p w14:paraId="67B88311" w14:textId="6491B7C1" w:rsidR="00CB561A" w:rsidRPr="007372DE" w:rsidRDefault="003C760D" w:rsidP="00F332D4">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3C760D" w14:paraId="184D4E57" w14:textId="77777777" w:rsidTr="00FB612C">
        <w:tc>
          <w:tcPr>
            <w:tcW w:w="5387" w:type="dxa"/>
          </w:tcPr>
          <w:p w14:paraId="724E63B1" w14:textId="44BD9B7B" w:rsidR="003C760D" w:rsidRPr="004941B4" w:rsidRDefault="003C760D"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training should consist of, as a minimum, </w:t>
            </w:r>
          </w:p>
          <w:p w14:paraId="5B02158D" w14:textId="77777777" w:rsidR="003C760D" w:rsidRPr="003C760D" w:rsidRDefault="003C760D" w:rsidP="00D71F76">
            <w:pPr>
              <w:pStyle w:val="ListParagraph"/>
              <w:numPr>
                <w:ilvl w:val="0"/>
                <w:numId w:val="14"/>
              </w:numPr>
              <w:spacing w:after="240"/>
              <w:jc w:val="both"/>
              <w:rPr>
                <w:rFonts w:ascii="Arial" w:hAnsi="Arial"/>
                <w:color w:val="000000" w:themeColor="text1"/>
              </w:rPr>
            </w:pPr>
            <w:r w:rsidRPr="003C760D">
              <w:rPr>
                <w:rFonts w:ascii="Arial" w:hAnsi="Arial"/>
                <w:color w:val="000000" w:themeColor="text1"/>
              </w:rPr>
              <w:t>Both on and off-site training.</w:t>
            </w:r>
          </w:p>
          <w:p w14:paraId="7A01A041" w14:textId="77777777" w:rsidR="003C760D" w:rsidRPr="003C760D" w:rsidRDefault="003C760D" w:rsidP="00D71F76">
            <w:pPr>
              <w:pStyle w:val="ListParagraph"/>
              <w:numPr>
                <w:ilvl w:val="0"/>
                <w:numId w:val="14"/>
              </w:numPr>
              <w:spacing w:after="240"/>
              <w:jc w:val="both"/>
              <w:rPr>
                <w:rFonts w:ascii="Arial" w:hAnsi="Arial"/>
                <w:color w:val="000000" w:themeColor="text1"/>
              </w:rPr>
            </w:pPr>
            <w:r w:rsidRPr="003C760D">
              <w:rPr>
                <w:rFonts w:ascii="Arial" w:hAnsi="Arial"/>
                <w:color w:val="000000" w:themeColor="text1"/>
              </w:rPr>
              <w:t>E-Learning.</w:t>
            </w:r>
          </w:p>
          <w:p w14:paraId="2B6DDC3E" w14:textId="77777777" w:rsidR="003C760D" w:rsidRPr="003C760D" w:rsidRDefault="003C760D" w:rsidP="00D71F76">
            <w:pPr>
              <w:pStyle w:val="ListParagraph"/>
              <w:numPr>
                <w:ilvl w:val="0"/>
                <w:numId w:val="14"/>
              </w:numPr>
              <w:spacing w:after="240"/>
              <w:jc w:val="both"/>
              <w:rPr>
                <w:rFonts w:ascii="Arial" w:hAnsi="Arial"/>
                <w:color w:val="000000" w:themeColor="text1"/>
              </w:rPr>
            </w:pPr>
            <w:r w:rsidRPr="003C760D">
              <w:rPr>
                <w:rFonts w:ascii="Arial" w:hAnsi="Arial"/>
                <w:color w:val="000000" w:themeColor="text1"/>
              </w:rPr>
              <w:t>Classroom learning.</w:t>
            </w:r>
          </w:p>
          <w:p w14:paraId="30A70F77" w14:textId="77777777" w:rsidR="003C760D" w:rsidRPr="003C760D" w:rsidRDefault="003C760D" w:rsidP="00D71F76">
            <w:pPr>
              <w:pStyle w:val="ListParagraph"/>
              <w:numPr>
                <w:ilvl w:val="0"/>
                <w:numId w:val="14"/>
              </w:numPr>
              <w:spacing w:after="240"/>
              <w:jc w:val="both"/>
              <w:rPr>
                <w:rFonts w:ascii="Arial" w:hAnsi="Arial"/>
                <w:color w:val="000000" w:themeColor="text1"/>
              </w:rPr>
            </w:pPr>
            <w:r w:rsidRPr="003C760D">
              <w:rPr>
                <w:rFonts w:ascii="Arial" w:hAnsi="Arial"/>
                <w:color w:val="000000" w:themeColor="text1"/>
              </w:rPr>
              <w:t>Delegate support.</w:t>
            </w:r>
          </w:p>
          <w:p w14:paraId="203C7EA9" w14:textId="45689E6B" w:rsidR="003C760D" w:rsidRPr="003C760D" w:rsidRDefault="003C760D" w:rsidP="00D71F76">
            <w:pPr>
              <w:pStyle w:val="ListParagraph"/>
              <w:numPr>
                <w:ilvl w:val="0"/>
                <w:numId w:val="14"/>
              </w:numPr>
              <w:spacing w:after="240"/>
              <w:jc w:val="both"/>
              <w:rPr>
                <w:rFonts w:ascii="Arial" w:hAnsi="Arial"/>
                <w:color w:val="000000" w:themeColor="text1"/>
              </w:rPr>
            </w:pPr>
            <w:r w:rsidRPr="003C760D">
              <w:rPr>
                <w:rFonts w:ascii="Arial" w:hAnsi="Arial"/>
                <w:color w:val="000000" w:themeColor="text1"/>
              </w:rPr>
              <w:t>Administrative management</w:t>
            </w:r>
          </w:p>
        </w:tc>
        <w:tc>
          <w:tcPr>
            <w:tcW w:w="5387" w:type="dxa"/>
          </w:tcPr>
          <w:p w14:paraId="4BD3D2DD" w14:textId="4F11F47D" w:rsidR="003C760D" w:rsidRPr="007372DE" w:rsidRDefault="003C760D" w:rsidP="003C760D">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3C760D" w14:paraId="454F9747" w14:textId="77777777" w:rsidTr="00FB612C">
        <w:tc>
          <w:tcPr>
            <w:tcW w:w="5387" w:type="dxa"/>
          </w:tcPr>
          <w:p w14:paraId="68C32237" w14:textId="09B89EC1" w:rsidR="003C760D" w:rsidRPr="004941B4" w:rsidRDefault="003C760D"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adhere and keep abreast of NHS and Resuscitation Council UK (RSUK) guidelines and provide feedback in horizon scanning meetings to the </w:t>
            </w:r>
            <w:r w:rsidR="00E152C7" w:rsidRPr="004941B4">
              <w:rPr>
                <w:rFonts w:ascii="Arial" w:hAnsi="Arial"/>
                <w:color w:val="000000" w:themeColor="text1"/>
              </w:rPr>
              <w:t>D</w:t>
            </w:r>
            <w:r w:rsidRPr="004941B4">
              <w:rPr>
                <w:rFonts w:ascii="Arial" w:hAnsi="Arial"/>
                <w:color w:val="000000" w:themeColor="text1"/>
              </w:rPr>
              <w:t xml:space="preserve">eputy </w:t>
            </w:r>
            <w:r w:rsidR="00E152C7" w:rsidRPr="004941B4">
              <w:rPr>
                <w:rFonts w:ascii="Arial" w:hAnsi="Arial"/>
                <w:color w:val="000000" w:themeColor="text1"/>
              </w:rPr>
              <w:t>D</w:t>
            </w:r>
            <w:r w:rsidRPr="004941B4">
              <w:rPr>
                <w:rFonts w:ascii="Arial" w:hAnsi="Arial"/>
                <w:color w:val="000000" w:themeColor="text1"/>
              </w:rPr>
              <w:t xml:space="preserve">irector of Quality and Safety. </w:t>
            </w:r>
          </w:p>
        </w:tc>
        <w:tc>
          <w:tcPr>
            <w:tcW w:w="5387" w:type="dxa"/>
          </w:tcPr>
          <w:p w14:paraId="2104842E" w14:textId="314E2CF3" w:rsidR="003C760D" w:rsidRPr="007372DE" w:rsidRDefault="003C760D" w:rsidP="003C760D">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3C760D" w14:paraId="09EED68D" w14:textId="77777777" w:rsidTr="00FB612C">
        <w:tc>
          <w:tcPr>
            <w:tcW w:w="5387" w:type="dxa"/>
          </w:tcPr>
          <w:p w14:paraId="196B4BF9" w14:textId="10341F1C" w:rsidR="003C760D" w:rsidRPr="004941B4" w:rsidRDefault="003C760D"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adhere to NHS and Resuscitation Council guidelines of instructor/candidate ratio of 1 instructor: 6 candidates. </w:t>
            </w:r>
          </w:p>
        </w:tc>
        <w:tc>
          <w:tcPr>
            <w:tcW w:w="5387" w:type="dxa"/>
          </w:tcPr>
          <w:p w14:paraId="444E4661" w14:textId="1046B762" w:rsidR="003C760D" w:rsidRPr="007372DE" w:rsidRDefault="003C760D" w:rsidP="003C760D">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56547E79" w14:textId="77777777" w:rsidTr="00FB612C">
        <w:tc>
          <w:tcPr>
            <w:tcW w:w="5387" w:type="dxa"/>
          </w:tcPr>
          <w:p w14:paraId="42C975F6" w14:textId="2764E89C" w:rsidR="00E152C7" w:rsidRPr="004941B4" w:rsidRDefault="00E152C7"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provide strategic support to the Deputy Director of Quality and Safety </w:t>
            </w:r>
          </w:p>
        </w:tc>
        <w:tc>
          <w:tcPr>
            <w:tcW w:w="5387" w:type="dxa"/>
          </w:tcPr>
          <w:p w14:paraId="45BF48B1" w14:textId="23F41613"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3D91807E" w14:textId="77777777" w:rsidTr="00FB612C">
        <w:tc>
          <w:tcPr>
            <w:tcW w:w="5387" w:type="dxa"/>
          </w:tcPr>
          <w:p w14:paraId="3C16A93F" w14:textId="513A5CDB" w:rsidR="00E152C7" w:rsidRPr="004941B4" w:rsidRDefault="00E152C7" w:rsidP="004941B4">
            <w:pPr>
              <w:pStyle w:val="ListParagraph"/>
              <w:numPr>
                <w:ilvl w:val="0"/>
                <w:numId w:val="19"/>
              </w:numPr>
              <w:spacing w:after="240"/>
              <w:jc w:val="both"/>
            </w:pPr>
            <w:r w:rsidRPr="004941B4">
              <w:rPr>
                <w:rFonts w:ascii="Arial" w:hAnsi="Arial"/>
                <w:color w:val="000000" w:themeColor="text1"/>
              </w:rPr>
              <w:t>The supplier</w:t>
            </w:r>
            <w:r w:rsidRPr="004941B4">
              <w:t xml:space="preserve"> </w:t>
            </w:r>
            <w:r w:rsidRPr="004941B4">
              <w:rPr>
                <w:rFonts w:ascii="Arial" w:hAnsi="Arial"/>
                <w:color w:val="000000" w:themeColor="text1"/>
              </w:rPr>
              <w:t xml:space="preserve">will be available to accommodate medical emergency reviews as they occur across trust sites. </w:t>
            </w:r>
          </w:p>
        </w:tc>
        <w:tc>
          <w:tcPr>
            <w:tcW w:w="5387" w:type="dxa"/>
          </w:tcPr>
          <w:p w14:paraId="4C679A26" w14:textId="5F76065D"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7C807F86" w14:textId="77777777" w:rsidTr="00FB612C">
        <w:tc>
          <w:tcPr>
            <w:tcW w:w="5387" w:type="dxa"/>
          </w:tcPr>
          <w:p w14:paraId="11FB2FB4" w14:textId="66982BA0" w:rsidR="00E152C7" w:rsidRPr="004941B4" w:rsidRDefault="00E152C7"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be required to provide reporting quarterly on medical emergencies across the calendar year. </w:t>
            </w:r>
          </w:p>
        </w:tc>
        <w:tc>
          <w:tcPr>
            <w:tcW w:w="5387" w:type="dxa"/>
          </w:tcPr>
          <w:p w14:paraId="6C61BC44" w14:textId="5AA64C61"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497B96E1" w14:textId="77777777" w:rsidTr="00FB612C">
        <w:tc>
          <w:tcPr>
            <w:tcW w:w="5387" w:type="dxa"/>
          </w:tcPr>
          <w:p w14:paraId="68A93D93" w14:textId="4A2D3075" w:rsidR="00E152C7" w:rsidRPr="004941B4" w:rsidRDefault="00E152C7"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provide relevant equipment and consumables for training sessions that are satisfactory quality and fit for purpose. The equipment should be provided in the same ratio for instructor and candidates of 1 Instructor: 6 candidates. </w:t>
            </w:r>
          </w:p>
        </w:tc>
        <w:tc>
          <w:tcPr>
            <w:tcW w:w="5387" w:type="dxa"/>
          </w:tcPr>
          <w:p w14:paraId="3FAC2105" w14:textId="5C0D05DA"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69A75D7D" w14:textId="77777777" w:rsidTr="00FB612C">
        <w:tc>
          <w:tcPr>
            <w:tcW w:w="5387" w:type="dxa"/>
          </w:tcPr>
          <w:p w14:paraId="25581C51" w14:textId="2C646247" w:rsidR="00E152C7" w:rsidRPr="004941B4" w:rsidRDefault="00E152C7"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lastRenderedPageBreak/>
              <w:t xml:space="preserve">The supplier </w:t>
            </w:r>
            <w:proofErr w:type="gramStart"/>
            <w:r w:rsidRPr="004941B4">
              <w:rPr>
                <w:rFonts w:ascii="Arial" w:hAnsi="Arial"/>
                <w:color w:val="000000" w:themeColor="text1"/>
              </w:rPr>
              <w:t>is able to</w:t>
            </w:r>
            <w:proofErr w:type="gramEnd"/>
            <w:r w:rsidRPr="004941B4">
              <w:rPr>
                <w:rFonts w:ascii="Arial" w:hAnsi="Arial"/>
                <w:color w:val="000000" w:themeColor="text1"/>
              </w:rPr>
              <w:t xml:space="preserve"> provide support </w:t>
            </w:r>
            <w:r w:rsidR="00D71F76" w:rsidRPr="004941B4">
              <w:rPr>
                <w:rFonts w:ascii="Arial" w:hAnsi="Arial"/>
                <w:color w:val="000000" w:themeColor="text1"/>
              </w:rPr>
              <w:t xml:space="preserve">and training </w:t>
            </w:r>
            <w:r w:rsidRPr="004941B4">
              <w:rPr>
                <w:rFonts w:ascii="Arial" w:hAnsi="Arial"/>
                <w:color w:val="000000" w:themeColor="text1"/>
              </w:rPr>
              <w:t xml:space="preserve">within office hours and out of office hours </w:t>
            </w:r>
            <w:r w:rsidR="00D71F76" w:rsidRPr="004941B4">
              <w:rPr>
                <w:rFonts w:ascii="Arial" w:hAnsi="Arial"/>
                <w:color w:val="000000" w:themeColor="text1"/>
              </w:rPr>
              <w:t xml:space="preserve">to enable to service to provide 24/7 service to users. </w:t>
            </w:r>
          </w:p>
        </w:tc>
        <w:tc>
          <w:tcPr>
            <w:tcW w:w="5387" w:type="dxa"/>
          </w:tcPr>
          <w:p w14:paraId="40431C74" w14:textId="51ECB08F" w:rsidR="00E152C7" w:rsidRPr="007372DE" w:rsidRDefault="00D71F76"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59D37F1D" w14:textId="77777777" w:rsidTr="00FB612C">
        <w:tc>
          <w:tcPr>
            <w:tcW w:w="5387" w:type="dxa"/>
          </w:tcPr>
          <w:p w14:paraId="54BA6BF6" w14:textId="3962BB34" w:rsidR="00E152C7" w:rsidRPr="004941B4" w:rsidRDefault="00D71F76"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t>
            </w:r>
            <w:proofErr w:type="gramStart"/>
            <w:r w:rsidRPr="004941B4">
              <w:rPr>
                <w:rFonts w:ascii="Arial" w:hAnsi="Arial"/>
                <w:color w:val="000000" w:themeColor="text1"/>
              </w:rPr>
              <w:t>is able to</w:t>
            </w:r>
            <w:proofErr w:type="gramEnd"/>
            <w:r w:rsidRPr="004941B4">
              <w:rPr>
                <w:rFonts w:ascii="Arial" w:hAnsi="Arial"/>
                <w:color w:val="000000" w:themeColor="text1"/>
              </w:rPr>
              <w:t xml:space="preserve"> provide insight and amend any planned training and materials as required, when the Resuscitation Council UK and NHS standards or other relevant body are updated. </w:t>
            </w:r>
          </w:p>
        </w:tc>
        <w:tc>
          <w:tcPr>
            <w:tcW w:w="5387" w:type="dxa"/>
          </w:tcPr>
          <w:p w14:paraId="0ECC9742" w14:textId="7119AD95" w:rsidR="00E152C7" w:rsidRPr="007372DE" w:rsidRDefault="00D71F76"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3BB60A22" w14:textId="77777777" w:rsidTr="00FB612C">
        <w:tc>
          <w:tcPr>
            <w:tcW w:w="5387" w:type="dxa"/>
          </w:tcPr>
          <w:p w14:paraId="21C067F5" w14:textId="40F8C96B" w:rsidR="00E152C7" w:rsidRPr="004941B4" w:rsidRDefault="00D71F76"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liaise and support the Learning &amp; Development (L&amp;D) team to review the planned training programme, and other associated administration tasks as required. </w:t>
            </w:r>
          </w:p>
        </w:tc>
        <w:tc>
          <w:tcPr>
            <w:tcW w:w="5387" w:type="dxa"/>
          </w:tcPr>
          <w:p w14:paraId="6D60F579"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53B4B991" w14:textId="77777777" w:rsidTr="00FB612C">
        <w:tc>
          <w:tcPr>
            <w:tcW w:w="5387" w:type="dxa"/>
          </w:tcPr>
          <w:p w14:paraId="3F564185" w14:textId="58771746" w:rsidR="00E152C7" w:rsidRPr="004941B4" w:rsidRDefault="00D71F76"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t>
            </w:r>
            <w:proofErr w:type="gramStart"/>
            <w:r w:rsidRPr="004941B4">
              <w:rPr>
                <w:rFonts w:ascii="Arial" w:hAnsi="Arial"/>
                <w:color w:val="000000" w:themeColor="text1"/>
              </w:rPr>
              <w:t>is able to</w:t>
            </w:r>
            <w:proofErr w:type="gramEnd"/>
            <w:r w:rsidRPr="004941B4">
              <w:rPr>
                <w:rFonts w:ascii="Arial" w:hAnsi="Arial"/>
                <w:color w:val="000000" w:themeColor="text1"/>
              </w:rPr>
              <w:t xml:space="preserve"> provide e-Learning packages that test competency: </w:t>
            </w:r>
          </w:p>
          <w:p w14:paraId="6B1C5DBD" w14:textId="77777777" w:rsidR="00D71F76" w:rsidRPr="00D71F76" w:rsidRDefault="00D71F76" w:rsidP="00D71F76">
            <w:pPr>
              <w:pStyle w:val="ListParagraph"/>
              <w:numPr>
                <w:ilvl w:val="0"/>
                <w:numId w:val="13"/>
              </w:numPr>
              <w:spacing w:after="240"/>
              <w:jc w:val="both"/>
              <w:rPr>
                <w:rFonts w:ascii="Arial" w:hAnsi="Arial"/>
                <w:color w:val="000000" w:themeColor="text1"/>
              </w:rPr>
            </w:pPr>
            <w:r w:rsidRPr="00D71F76">
              <w:rPr>
                <w:rFonts w:ascii="Arial" w:hAnsi="Arial"/>
                <w:color w:val="000000" w:themeColor="text1"/>
              </w:rPr>
              <w:t>Package for pre-learning, i.e. prior to Classroom session(s).</w:t>
            </w:r>
          </w:p>
          <w:p w14:paraId="3A450503" w14:textId="77777777" w:rsidR="00D71F76" w:rsidRPr="00D71F76" w:rsidRDefault="00D71F76" w:rsidP="00D71F76">
            <w:pPr>
              <w:pStyle w:val="ListParagraph"/>
              <w:numPr>
                <w:ilvl w:val="0"/>
                <w:numId w:val="13"/>
              </w:numPr>
              <w:spacing w:after="240"/>
              <w:jc w:val="both"/>
              <w:rPr>
                <w:rFonts w:ascii="Arial" w:hAnsi="Arial"/>
                <w:color w:val="000000" w:themeColor="text1"/>
              </w:rPr>
            </w:pPr>
            <w:r w:rsidRPr="00D71F76">
              <w:rPr>
                <w:rFonts w:ascii="Arial" w:hAnsi="Arial"/>
                <w:color w:val="000000" w:themeColor="text1"/>
              </w:rPr>
              <w:t>Package for “refresh” learning post Classroom assessment(s).</w:t>
            </w:r>
          </w:p>
          <w:p w14:paraId="51AF98D6" w14:textId="5EC379D8" w:rsidR="00D71F76" w:rsidRPr="00D71F76" w:rsidRDefault="00D71F76" w:rsidP="00E152C7">
            <w:pPr>
              <w:pStyle w:val="ListParagraph"/>
              <w:numPr>
                <w:ilvl w:val="0"/>
                <w:numId w:val="13"/>
              </w:numPr>
              <w:spacing w:after="240"/>
              <w:jc w:val="both"/>
              <w:rPr>
                <w:rFonts w:ascii="Arial" w:hAnsi="Arial"/>
                <w:color w:val="000000" w:themeColor="text1"/>
              </w:rPr>
            </w:pPr>
            <w:r w:rsidRPr="00D71F76">
              <w:rPr>
                <w:rFonts w:ascii="Arial" w:hAnsi="Arial"/>
                <w:color w:val="000000" w:themeColor="text1"/>
              </w:rPr>
              <w:t xml:space="preserve">Packages should be compatible with NHS platforms. </w:t>
            </w:r>
          </w:p>
        </w:tc>
        <w:tc>
          <w:tcPr>
            <w:tcW w:w="5387" w:type="dxa"/>
          </w:tcPr>
          <w:p w14:paraId="58872574"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20CE5692" w14:textId="77777777" w:rsidTr="00FB612C">
        <w:tc>
          <w:tcPr>
            <w:tcW w:w="5387" w:type="dxa"/>
          </w:tcPr>
          <w:p w14:paraId="573FD521" w14:textId="3625C8AB" w:rsidR="00E152C7" w:rsidRPr="004941B4" w:rsidRDefault="00AA56B3"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provide training deliverables and support packages for candidates that require additional support and includes the train the trainer package. </w:t>
            </w:r>
          </w:p>
        </w:tc>
        <w:tc>
          <w:tcPr>
            <w:tcW w:w="5387" w:type="dxa"/>
          </w:tcPr>
          <w:p w14:paraId="46E02A94"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4D08F6B5" w14:textId="77777777" w:rsidTr="00FB612C">
        <w:tc>
          <w:tcPr>
            <w:tcW w:w="5387" w:type="dxa"/>
          </w:tcPr>
          <w:p w14:paraId="7CF7D084" w14:textId="08E7DE8A" w:rsidR="00E152C7" w:rsidRPr="004941B4" w:rsidRDefault="00AA56B3"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w:t>
            </w:r>
            <w:r w:rsidR="004B523B" w:rsidRPr="004941B4">
              <w:rPr>
                <w:rFonts w:ascii="Arial" w:hAnsi="Arial"/>
                <w:color w:val="000000" w:themeColor="text1"/>
              </w:rPr>
              <w:t xml:space="preserve">support the trust in planning the training schedule and provide required administration tasks. </w:t>
            </w:r>
          </w:p>
          <w:p w14:paraId="58C863F3" w14:textId="77777777" w:rsidR="004B523B" w:rsidRPr="004B523B" w:rsidRDefault="004B523B" w:rsidP="004B523B">
            <w:pPr>
              <w:pStyle w:val="ListParagraph"/>
              <w:numPr>
                <w:ilvl w:val="0"/>
                <w:numId w:val="13"/>
              </w:numPr>
              <w:spacing w:after="240"/>
              <w:jc w:val="both"/>
              <w:rPr>
                <w:rFonts w:ascii="Arial" w:hAnsi="Arial"/>
                <w:color w:val="000000" w:themeColor="text1"/>
              </w:rPr>
            </w:pPr>
            <w:r w:rsidRPr="004B523B">
              <w:rPr>
                <w:rFonts w:ascii="Arial" w:hAnsi="Arial"/>
                <w:color w:val="000000" w:themeColor="text1"/>
              </w:rPr>
              <w:t>Hard copy, letters</w:t>
            </w:r>
          </w:p>
          <w:p w14:paraId="1AAF3DF7" w14:textId="77777777" w:rsidR="004B523B" w:rsidRPr="004B523B" w:rsidRDefault="004B523B" w:rsidP="004B523B">
            <w:pPr>
              <w:pStyle w:val="ListParagraph"/>
              <w:numPr>
                <w:ilvl w:val="0"/>
                <w:numId w:val="13"/>
              </w:numPr>
              <w:spacing w:after="240"/>
              <w:jc w:val="both"/>
              <w:rPr>
                <w:rFonts w:ascii="Arial" w:hAnsi="Arial"/>
                <w:color w:val="000000" w:themeColor="text1"/>
              </w:rPr>
            </w:pPr>
            <w:r w:rsidRPr="004B523B">
              <w:rPr>
                <w:rFonts w:ascii="Arial" w:hAnsi="Arial"/>
                <w:color w:val="000000" w:themeColor="text1"/>
              </w:rPr>
              <w:t>Electronic, via e-mail</w:t>
            </w:r>
          </w:p>
          <w:p w14:paraId="26DBDA9C" w14:textId="12660225" w:rsidR="004B523B" w:rsidRPr="004B523B" w:rsidRDefault="004B523B" w:rsidP="00E152C7">
            <w:pPr>
              <w:pStyle w:val="ListParagraph"/>
              <w:numPr>
                <w:ilvl w:val="0"/>
                <w:numId w:val="13"/>
              </w:numPr>
              <w:spacing w:after="240"/>
              <w:jc w:val="both"/>
              <w:rPr>
                <w:rFonts w:ascii="Arial" w:hAnsi="Arial"/>
                <w:color w:val="000000" w:themeColor="text1"/>
              </w:rPr>
            </w:pPr>
            <w:r w:rsidRPr="004B523B">
              <w:rPr>
                <w:rFonts w:ascii="Arial" w:hAnsi="Arial"/>
                <w:color w:val="000000" w:themeColor="text1"/>
              </w:rPr>
              <w:t xml:space="preserve">Text message </w:t>
            </w:r>
          </w:p>
        </w:tc>
        <w:tc>
          <w:tcPr>
            <w:tcW w:w="5387" w:type="dxa"/>
          </w:tcPr>
          <w:p w14:paraId="5B5E55A8" w14:textId="48FC06DD" w:rsidR="00E152C7" w:rsidRPr="007372DE" w:rsidRDefault="004B523B"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6A53032D" w14:textId="77777777" w:rsidTr="00FB612C">
        <w:tc>
          <w:tcPr>
            <w:tcW w:w="5387" w:type="dxa"/>
          </w:tcPr>
          <w:p w14:paraId="6BED4E13" w14:textId="2AE470D3" w:rsidR="00E152C7" w:rsidRPr="004941B4" w:rsidRDefault="004B523B"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provide feedback on training attendees to monitor performance, ensure attendee satisfaction and identify areas for improvement. </w:t>
            </w:r>
          </w:p>
        </w:tc>
        <w:tc>
          <w:tcPr>
            <w:tcW w:w="5387" w:type="dxa"/>
          </w:tcPr>
          <w:p w14:paraId="09D92452" w14:textId="5E59B843" w:rsidR="00E152C7" w:rsidRPr="007372DE" w:rsidRDefault="004B523B"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4E4ACBCF" w14:textId="77777777" w:rsidTr="00FB612C">
        <w:tc>
          <w:tcPr>
            <w:tcW w:w="5387" w:type="dxa"/>
          </w:tcPr>
          <w:p w14:paraId="0DADC7B1" w14:textId="5F357C02" w:rsidR="00E152C7" w:rsidRPr="004941B4" w:rsidRDefault="004B523B" w:rsidP="004941B4">
            <w:pPr>
              <w:pStyle w:val="ListParagraph"/>
              <w:numPr>
                <w:ilvl w:val="0"/>
                <w:numId w:val="19"/>
              </w:numPr>
              <w:spacing w:after="240"/>
              <w:jc w:val="both"/>
            </w:pPr>
            <w:r w:rsidRPr="004941B4">
              <w:rPr>
                <w:rFonts w:ascii="Arial" w:hAnsi="Arial"/>
                <w:color w:val="000000" w:themeColor="text1"/>
              </w:rPr>
              <w:t xml:space="preserve">The supplier shall provide </w:t>
            </w:r>
            <w:r w:rsidR="0016378C" w:rsidRPr="004941B4">
              <w:rPr>
                <w:rFonts w:ascii="Arial" w:hAnsi="Arial"/>
                <w:color w:val="000000" w:themeColor="text1"/>
              </w:rPr>
              <w:t xml:space="preserve">consultancy for cardiopulmonary resuscitation and related disciplines. </w:t>
            </w:r>
            <w:r w:rsidRPr="004941B4">
              <w:rPr>
                <w:rFonts w:ascii="Arial" w:hAnsi="Arial"/>
                <w:color w:val="000000" w:themeColor="text1"/>
              </w:rPr>
              <w:t xml:space="preserve"> </w:t>
            </w:r>
          </w:p>
        </w:tc>
        <w:tc>
          <w:tcPr>
            <w:tcW w:w="5387" w:type="dxa"/>
          </w:tcPr>
          <w:p w14:paraId="5ED28BD1" w14:textId="45A61A21"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Yes/No*</w:t>
            </w:r>
          </w:p>
        </w:tc>
      </w:tr>
      <w:tr w:rsidR="00E152C7" w14:paraId="510DDAD9" w14:textId="77777777" w:rsidTr="00FB612C">
        <w:tc>
          <w:tcPr>
            <w:tcW w:w="5387" w:type="dxa"/>
          </w:tcPr>
          <w:p w14:paraId="267999D8" w14:textId="0FA2843F" w:rsidR="00E152C7" w:rsidRPr="004941B4" w:rsidRDefault="0016378C"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supervise and annually update the trusts ELS trainers and 2 further band 5 posts, at least monthly and involves planning training, updating trainers on new standards, and ensure that ELS training is monitored and assessed every year. </w:t>
            </w:r>
          </w:p>
        </w:tc>
        <w:tc>
          <w:tcPr>
            <w:tcW w:w="5387" w:type="dxa"/>
          </w:tcPr>
          <w:p w14:paraId="220FBE8D" w14:textId="54EB7662" w:rsidR="00E152C7" w:rsidRPr="007372DE" w:rsidRDefault="0016378C" w:rsidP="00E152C7">
            <w:pPr>
              <w:spacing w:after="240"/>
              <w:jc w:val="both"/>
              <w:rPr>
                <w:rFonts w:ascii="Arial" w:hAnsi="Arial"/>
                <w:color w:val="548DD4" w:themeColor="text2" w:themeTint="99"/>
              </w:rPr>
            </w:pPr>
            <w:r w:rsidRPr="007372DE">
              <w:rPr>
                <w:rFonts w:ascii="Arial" w:hAnsi="Arial"/>
                <w:color w:val="548DD4" w:themeColor="text2" w:themeTint="99"/>
              </w:rPr>
              <w:t>Yes/No*</w:t>
            </w:r>
          </w:p>
        </w:tc>
      </w:tr>
      <w:tr w:rsidR="00E152C7" w14:paraId="6A6FF980" w14:textId="77777777" w:rsidTr="00FB612C">
        <w:tc>
          <w:tcPr>
            <w:tcW w:w="5387" w:type="dxa"/>
          </w:tcPr>
          <w:p w14:paraId="1B919671" w14:textId="48371773" w:rsidR="00E152C7" w:rsidRPr="004941B4" w:rsidRDefault="0016378C"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provide SME expertise and advice to the Deputy Director or Quality and Safety. </w:t>
            </w:r>
          </w:p>
        </w:tc>
        <w:tc>
          <w:tcPr>
            <w:tcW w:w="5387" w:type="dxa"/>
          </w:tcPr>
          <w:p w14:paraId="3B453E33"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1107540A" w14:textId="77777777" w:rsidTr="00FB612C">
        <w:tc>
          <w:tcPr>
            <w:tcW w:w="5387" w:type="dxa"/>
          </w:tcPr>
          <w:p w14:paraId="64C38E92" w14:textId="650770F2" w:rsidR="00E152C7" w:rsidRPr="004941B4" w:rsidRDefault="0016378C"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advise and assist in the development of policies and protocols relating to resuscitation. </w:t>
            </w:r>
          </w:p>
        </w:tc>
        <w:tc>
          <w:tcPr>
            <w:tcW w:w="5387" w:type="dxa"/>
          </w:tcPr>
          <w:p w14:paraId="3D416688"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5F989944" w14:textId="77777777" w:rsidTr="00FB612C">
        <w:tc>
          <w:tcPr>
            <w:tcW w:w="5387" w:type="dxa"/>
          </w:tcPr>
          <w:p w14:paraId="7E3D2297" w14:textId="12078EF9" w:rsidR="00E152C7" w:rsidRPr="004941B4" w:rsidRDefault="0016378C"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will provide specialist advice and recommendations to the Resuscitation Council (RC) and Deputy Director of Quality and Safety. </w:t>
            </w:r>
          </w:p>
        </w:tc>
        <w:tc>
          <w:tcPr>
            <w:tcW w:w="5387" w:type="dxa"/>
          </w:tcPr>
          <w:p w14:paraId="0A64FF08"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15981FCE" w14:textId="77777777" w:rsidTr="00FB612C">
        <w:tc>
          <w:tcPr>
            <w:tcW w:w="5387" w:type="dxa"/>
          </w:tcPr>
          <w:p w14:paraId="3E7375A4" w14:textId="754191CA" w:rsidR="00E152C7" w:rsidRPr="004941B4" w:rsidRDefault="0016378C" w:rsidP="004941B4">
            <w:pPr>
              <w:pStyle w:val="ListParagraph"/>
              <w:numPr>
                <w:ilvl w:val="0"/>
                <w:numId w:val="19"/>
              </w:numPr>
              <w:spacing w:after="240"/>
              <w:jc w:val="both"/>
              <w:rPr>
                <w:rFonts w:ascii="Arial" w:hAnsi="Arial" w:cs="Arial"/>
              </w:rPr>
            </w:pPr>
            <w:r w:rsidRPr="004941B4">
              <w:rPr>
                <w:rFonts w:ascii="Arial" w:hAnsi="Arial" w:cs="Arial"/>
              </w:rPr>
              <w:lastRenderedPageBreak/>
              <w:t xml:space="preserve">The supplier will attend Resuscitation Council (RC) meetings, where appropriate. </w:t>
            </w:r>
          </w:p>
        </w:tc>
        <w:tc>
          <w:tcPr>
            <w:tcW w:w="5387" w:type="dxa"/>
          </w:tcPr>
          <w:p w14:paraId="6E74E593" w14:textId="77777777" w:rsidR="00E152C7" w:rsidRDefault="00E152C7" w:rsidP="00E152C7">
            <w:pPr>
              <w:spacing w:after="240"/>
              <w:jc w:val="both"/>
              <w:rPr>
                <w:rFonts w:ascii="Arial" w:hAnsi="Arial"/>
                <w:color w:val="000000" w:themeColor="text1"/>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E152C7" w14:paraId="574A6B1A" w14:textId="77777777" w:rsidTr="00FB612C">
        <w:tc>
          <w:tcPr>
            <w:tcW w:w="5387" w:type="dxa"/>
          </w:tcPr>
          <w:p w14:paraId="59BD83C3" w14:textId="3628A055" w:rsidR="00E152C7" w:rsidRPr="004941B4" w:rsidRDefault="0016378C" w:rsidP="004941B4">
            <w:pPr>
              <w:pStyle w:val="ListParagraph"/>
              <w:numPr>
                <w:ilvl w:val="0"/>
                <w:numId w:val="19"/>
              </w:numPr>
              <w:rPr>
                <w:rFonts w:ascii="Arial" w:hAnsi="Arial" w:cs="Arial"/>
              </w:rPr>
            </w:pPr>
            <w:r w:rsidRPr="004941B4">
              <w:rPr>
                <w:rFonts w:ascii="Arial" w:hAnsi="Arial" w:cs="Arial"/>
              </w:rPr>
              <w:t>The supplier will provide advice and support, as required, in the event of serious resuscitation related incidents</w:t>
            </w:r>
            <w:r w:rsidR="00A37EE9" w:rsidRPr="004941B4">
              <w:rPr>
                <w:rFonts w:ascii="Arial" w:hAnsi="Arial" w:cs="Arial"/>
              </w:rPr>
              <w:t xml:space="preserve">. This may or may not involve an on-site presence where appropriate. </w:t>
            </w:r>
          </w:p>
        </w:tc>
        <w:tc>
          <w:tcPr>
            <w:tcW w:w="5387" w:type="dxa"/>
          </w:tcPr>
          <w:p w14:paraId="5674BB83" w14:textId="77777777" w:rsidR="00E152C7" w:rsidRPr="007372DE" w:rsidRDefault="00E152C7" w:rsidP="00E152C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D71F76" w14:paraId="654F06D2" w14:textId="77777777" w:rsidTr="00FB612C">
        <w:tc>
          <w:tcPr>
            <w:tcW w:w="5387" w:type="dxa"/>
          </w:tcPr>
          <w:p w14:paraId="3E610C42" w14:textId="08228CA2" w:rsidR="00D71F76" w:rsidRPr="004941B4" w:rsidRDefault="00A37EE9" w:rsidP="004941B4">
            <w:pPr>
              <w:pStyle w:val="ListParagraph"/>
              <w:numPr>
                <w:ilvl w:val="0"/>
                <w:numId w:val="19"/>
              </w:numPr>
              <w:rPr>
                <w:rFonts w:ascii="Arial" w:hAnsi="Arial" w:cs="Arial"/>
              </w:rPr>
            </w:pPr>
            <w:r w:rsidRPr="004941B4">
              <w:rPr>
                <w:rFonts w:ascii="Arial" w:hAnsi="Arial" w:cs="Arial"/>
              </w:rPr>
              <w:t xml:space="preserve">The supplier will provide advice on resuscitation governance issues relating to service developments, service redesign, trust projects involving other NHS organisations and other public sector organisations. </w:t>
            </w:r>
          </w:p>
        </w:tc>
        <w:tc>
          <w:tcPr>
            <w:tcW w:w="5387" w:type="dxa"/>
          </w:tcPr>
          <w:p w14:paraId="2C201193" w14:textId="6A4A1832" w:rsidR="00D71F76" w:rsidRPr="007372DE" w:rsidRDefault="00D71F76" w:rsidP="00D71F76">
            <w:pPr>
              <w:spacing w:after="240"/>
              <w:jc w:val="both"/>
              <w:rPr>
                <w:rFonts w:ascii="Arial" w:hAnsi="Arial"/>
                <w:color w:val="548DD4" w:themeColor="text2" w:themeTint="99"/>
              </w:rPr>
            </w:pPr>
            <w:r w:rsidRPr="007372DE">
              <w:rPr>
                <w:rFonts w:ascii="Arial" w:hAnsi="Arial"/>
                <w:color w:val="548DD4" w:themeColor="text2" w:themeTint="99"/>
              </w:rPr>
              <w:t>Yes/No*</w:t>
            </w:r>
          </w:p>
        </w:tc>
      </w:tr>
      <w:tr w:rsidR="00D71F76" w14:paraId="726FEEBC" w14:textId="77777777" w:rsidTr="00FB612C">
        <w:tc>
          <w:tcPr>
            <w:tcW w:w="5387" w:type="dxa"/>
          </w:tcPr>
          <w:p w14:paraId="23C59F00" w14:textId="288CF5E5" w:rsidR="00D71F76" w:rsidRPr="004941B4" w:rsidRDefault="00A37EE9"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provide efficient and timely communications both within the trust and the trusts partners. </w:t>
            </w:r>
          </w:p>
        </w:tc>
        <w:tc>
          <w:tcPr>
            <w:tcW w:w="5387" w:type="dxa"/>
          </w:tcPr>
          <w:p w14:paraId="6F718E60" w14:textId="0267F46A" w:rsidR="00D71F76" w:rsidRPr="007372DE" w:rsidRDefault="005C0F17" w:rsidP="00D71F76">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D71F76" w14:paraId="6F96C6C5" w14:textId="77777777" w:rsidTr="00FB612C">
        <w:tc>
          <w:tcPr>
            <w:tcW w:w="5387" w:type="dxa"/>
          </w:tcPr>
          <w:p w14:paraId="4B2697DC" w14:textId="720B7A04" w:rsidR="00D71F76" w:rsidRPr="004941B4" w:rsidRDefault="00A37EE9"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provide advice and comment to Learning and Development (L&amp;D) teams on updated national policies and strategic changes </w:t>
            </w:r>
          </w:p>
        </w:tc>
        <w:tc>
          <w:tcPr>
            <w:tcW w:w="5387" w:type="dxa"/>
          </w:tcPr>
          <w:p w14:paraId="229CAC9D" w14:textId="6918455F" w:rsidR="00D71F76" w:rsidRPr="007372DE" w:rsidRDefault="005C0F17" w:rsidP="00D71F76">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D71F76" w14:paraId="20610008" w14:textId="77777777" w:rsidTr="00FB612C">
        <w:tc>
          <w:tcPr>
            <w:tcW w:w="5387" w:type="dxa"/>
          </w:tcPr>
          <w:p w14:paraId="06545534" w14:textId="60CED20B" w:rsidR="00D71F76" w:rsidRPr="004941B4" w:rsidRDefault="00A37EE9"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provide advice on implementation, impact and implementation of revised Resuscitation Council (RSUK) </w:t>
            </w:r>
          </w:p>
        </w:tc>
        <w:tc>
          <w:tcPr>
            <w:tcW w:w="5387" w:type="dxa"/>
          </w:tcPr>
          <w:p w14:paraId="6C555313" w14:textId="632A3690" w:rsidR="00D71F76" w:rsidRPr="007372DE" w:rsidRDefault="005C0F17" w:rsidP="00D71F76">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16378C" w14:paraId="2A2151FD" w14:textId="77777777" w:rsidTr="00FB612C">
        <w:tc>
          <w:tcPr>
            <w:tcW w:w="5387" w:type="dxa"/>
          </w:tcPr>
          <w:p w14:paraId="388EEFCC" w14:textId="7A4E6D05" w:rsidR="0016378C" w:rsidRPr="004941B4" w:rsidRDefault="005C0F17"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have adequate levels of insurance in place at the date of commencement of the contract. </w:t>
            </w:r>
          </w:p>
        </w:tc>
        <w:tc>
          <w:tcPr>
            <w:tcW w:w="5387" w:type="dxa"/>
          </w:tcPr>
          <w:p w14:paraId="5E9235A8" w14:textId="657C161D" w:rsidR="0016378C" w:rsidRPr="007372DE" w:rsidRDefault="005C0F17" w:rsidP="00D71F76">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16378C" w14:paraId="75728AD2" w14:textId="77777777" w:rsidTr="00FB612C">
        <w:tc>
          <w:tcPr>
            <w:tcW w:w="5387" w:type="dxa"/>
          </w:tcPr>
          <w:p w14:paraId="17052655" w14:textId="27F608A4" w:rsidR="0016378C" w:rsidRPr="004941B4" w:rsidRDefault="005C0F17" w:rsidP="004941B4">
            <w:pPr>
              <w:pStyle w:val="ListParagraph"/>
              <w:numPr>
                <w:ilvl w:val="0"/>
                <w:numId w:val="19"/>
              </w:numPr>
              <w:spacing w:after="240"/>
              <w:jc w:val="both"/>
              <w:rPr>
                <w:rFonts w:ascii="Arial" w:hAnsi="Arial" w:cs="Arial"/>
              </w:rPr>
            </w:pPr>
            <w:r w:rsidRPr="004941B4">
              <w:rPr>
                <w:rFonts w:ascii="Arial" w:hAnsi="Arial" w:cs="Arial"/>
              </w:rPr>
              <w:t>The successful supplier shall appoint and provide contact details for an account manager to the upon award of the contract</w:t>
            </w:r>
          </w:p>
        </w:tc>
        <w:tc>
          <w:tcPr>
            <w:tcW w:w="5387" w:type="dxa"/>
          </w:tcPr>
          <w:p w14:paraId="3B9C4792" w14:textId="646954A3" w:rsidR="0016378C" w:rsidRPr="007372DE" w:rsidRDefault="005C0F17" w:rsidP="00D71F76">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16378C" w14:paraId="7CFE6221" w14:textId="77777777" w:rsidTr="00FB612C">
        <w:tc>
          <w:tcPr>
            <w:tcW w:w="5387" w:type="dxa"/>
          </w:tcPr>
          <w:p w14:paraId="58214E60" w14:textId="2773426B" w:rsidR="0016378C" w:rsidRPr="004941B4" w:rsidRDefault="005C0F17" w:rsidP="004941B4">
            <w:pPr>
              <w:pStyle w:val="ListParagraph"/>
              <w:numPr>
                <w:ilvl w:val="0"/>
                <w:numId w:val="19"/>
              </w:numPr>
              <w:spacing w:after="240"/>
              <w:jc w:val="both"/>
              <w:rPr>
                <w:rFonts w:ascii="Arial" w:hAnsi="Arial" w:cs="Arial"/>
              </w:rPr>
            </w:pPr>
            <w:r w:rsidRPr="004941B4">
              <w:rPr>
                <w:rFonts w:ascii="Arial" w:hAnsi="Arial" w:cs="Arial"/>
              </w:rPr>
              <w:t xml:space="preserve">The contract manager will be available or contract review meetings with the trust and provide ad hoc support on Management Information (MI) and support with Freedom of Information (FOI) requests. The supplier shall note that these requests are often required urgently and shall be prepared to whatever deadline the trust proposes/stipulates. </w:t>
            </w:r>
          </w:p>
        </w:tc>
        <w:tc>
          <w:tcPr>
            <w:tcW w:w="5387" w:type="dxa"/>
          </w:tcPr>
          <w:p w14:paraId="10C8A8BF" w14:textId="2AA95484" w:rsidR="0016378C" w:rsidRPr="007372DE" w:rsidRDefault="005C0F17" w:rsidP="0016378C">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16378C" w14:paraId="30D209CE" w14:textId="77777777" w:rsidTr="00FB612C">
        <w:tc>
          <w:tcPr>
            <w:tcW w:w="5387" w:type="dxa"/>
          </w:tcPr>
          <w:p w14:paraId="7E35ED74" w14:textId="07A0E14F" w:rsidR="0016378C" w:rsidRPr="004941B4" w:rsidRDefault="00502F0B"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provide Management Information (MI) to the trust stipulated under point 2.20.2 in the ITT Specification. </w:t>
            </w:r>
          </w:p>
        </w:tc>
        <w:tc>
          <w:tcPr>
            <w:tcW w:w="5387" w:type="dxa"/>
          </w:tcPr>
          <w:p w14:paraId="75E36CCE" w14:textId="786127F8" w:rsidR="0016378C" w:rsidRPr="007372DE" w:rsidRDefault="00502F0B" w:rsidP="0016378C">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16378C" w14:paraId="41471026" w14:textId="77777777" w:rsidTr="00FB612C">
        <w:tc>
          <w:tcPr>
            <w:tcW w:w="5387" w:type="dxa"/>
          </w:tcPr>
          <w:p w14:paraId="285BEE0D" w14:textId="016F4F40" w:rsidR="0016378C" w:rsidRPr="004941B4" w:rsidRDefault="00502F0B"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provide robust processes to ensure they achieve their KPI’s and provide evidence through MI data to evidence their performance. </w:t>
            </w:r>
          </w:p>
        </w:tc>
        <w:tc>
          <w:tcPr>
            <w:tcW w:w="5387" w:type="dxa"/>
          </w:tcPr>
          <w:p w14:paraId="69C83932" w14:textId="476EBC78" w:rsidR="0016378C" w:rsidRPr="007372DE" w:rsidRDefault="00502F0B" w:rsidP="0016378C">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0F17" w14:paraId="177D10AC" w14:textId="77777777" w:rsidTr="00FB612C">
        <w:tc>
          <w:tcPr>
            <w:tcW w:w="5387" w:type="dxa"/>
          </w:tcPr>
          <w:p w14:paraId="580955ED" w14:textId="47265EBF" w:rsidR="005C0F17" w:rsidRPr="004941B4" w:rsidRDefault="00502F0B"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always employ </w:t>
            </w:r>
            <w:proofErr w:type="gramStart"/>
            <w:r w:rsidRPr="004941B4">
              <w:rPr>
                <w:rFonts w:ascii="Arial" w:hAnsi="Arial" w:cs="Arial"/>
              </w:rPr>
              <w:t>a sufficient number of</w:t>
            </w:r>
            <w:proofErr w:type="gramEnd"/>
            <w:r w:rsidRPr="004941B4">
              <w:rPr>
                <w:rFonts w:ascii="Arial" w:hAnsi="Arial" w:cs="Arial"/>
              </w:rPr>
              <w:t xml:space="preserve"> trained and competent staff to </w:t>
            </w:r>
            <w:proofErr w:type="gramStart"/>
            <w:r w:rsidRPr="004941B4">
              <w:rPr>
                <w:rFonts w:ascii="Arial" w:hAnsi="Arial" w:cs="Arial"/>
              </w:rPr>
              <w:t>provide a continuous provision of services at all times</w:t>
            </w:r>
            <w:proofErr w:type="gramEnd"/>
            <w:r w:rsidRPr="004941B4">
              <w:rPr>
                <w:rFonts w:ascii="Arial" w:hAnsi="Arial" w:cs="Arial"/>
              </w:rPr>
              <w:t xml:space="preserve">. </w:t>
            </w:r>
          </w:p>
        </w:tc>
        <w:tc>
          <w:tcPr>
            <w:tcW w:w="5387" w:type="dxa"/>
          </w:tcPr>
          <w:p w14:paraId="79323DE2" w14:textId="6900FF80" w:rsidR="005C0F17" w:rsidRPr="007372DE" w:rsidRDefault="00502F0B" w:rsidP="0016378C">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0F17" w14:paraId="0C6BAB86" w14:textId="77777777" w:rsidTr="00FB612C">
        <w:tc>
          <w:tcPr>
            <w:tcW w:w="5387" w:type="dxa"/>
          </w:tcPr>
          <w:p w14:paraId="42E07978" w14:textId="05495914" w:rsidR="005C0F17" w:rsidRPr="004941B4" w:rsidRDefault="00502F0B"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have a resourced service continuity plan in the event of annual leave, sickness ensuring sufficient plans and measures are in place. </w:t>
            </w:r>
          </w:p>
        </w:tc>
        <w:tc>
          <w:tcPr>
            <w:tcW w:w="5387" w:type="dxa"/>
          </w:tcPr>
          <w:p w14:paraId="38A0D081" w14:textId="795A869F" w:rsidR="005C0F17" w:rsidRPr="007372DE" w:rsidRDefault="005C5652" w:rsidP="005C0F1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0F17" w14:paraId="693CC998" w14:textId="77777777" w:rsidTr="00FB612C">
        <w:tc>
          <w:tcPr>
            <w:tcW w:w="5387" w:type="dxa"/>
          </w:tcPr>
          <w:p w14:paraId="13506136" w14:textId="024851BE" w:rsidR="005C0F17" w:rsidRPr="004941B4" w:rsidRDefault="005C5652"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be required to demonstrate that all staff have gained appropriate occupational health </w:t>
            </w:r>
            <w:r w:rsidRPr="004941B4">
              <w:rPr>
                <w:rFonts w:ascii="Arial" w:hAnsi="Arial" w:cs="Arial"/>
              </w:rPr>
              <w:lastRenderedPageBreak/>
              <w:t xml:space="preserve">clearance and Disclosure Barring Service (DBS) checks. </w:t>
            </w:r>
          </w:p>
        </w:tc>
        <w:tc>
          <w:tcPr>
            <w:tcW w:w="5387" w:type="dxa"/>
          </w:tcPr>
          <w:p w14:paraId="0DAE0D31" w14:textId="7E369085" w:rsidR="005C0F17" w:rsidRPr="007372DE" w:rsidRDefault="005C5652" w:rsidP="005C0F17">
            <w:pPr>
              <w:spacing w:after="240"/>
              <w:jc w:val="both"/>
              <w:rPr>
                <w:rFonts w:ascii="Arial" w:hAnsi="Arial"/>
                <w:color w:val="548DD4" w:themeColor="text2" w:themeTint="99"/>
              </w:rPr>
            </w:pPr>
            <w:r w:rsidRPr="007372DE">
              <w:rPr>
                <w:rFonts w:ascii="Arial" w:hAnsi="Arial"/>
                <w:color w:val="548DD4" w:themeColor="text2" w:themeTint="99"/>
              </w:rPr>
              <w:lastRenderedPageBreak/>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0F17" w14:paraId="6E605D17" w14:textId="77777777" w:rsidTr="00FB612C">
        <w:tc>
          <w:tcPr>
            <w:tcW w:w="5387" w:type="dxa"/>
          </w:tcPr>
          <w:p w14:paraId="6263C762" w14:textId="4F542A48" w:rsidR="005C0F17" w:rsidRPr="004941B4" w:rsidRDefault="005C5652"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be required to demonstrate staff employed to deliver training have the required qualifications to deliver the training required to the Resuscitation Council and NHS guidelines. </w:t>
            </w:r>
          </w:p>
        </w:tc>
        <w:tc>
          <w:tcPr>
            <w:tcW w:w="5387" w:type="dxa"/>
          </w:tcPr>
          <w:p w14:paraId="28E4D8DD" w14:textId="20EB899C" w:rsidR="005C0F17" w:rsidRPr="007372DE" w:rsidRDefault="005C5652" w:rsidP="005C0F1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02F0B" w14:paraId="3853C11C" w14:textId="77777777" w:rsidTr="00FB612C">
        <w:tc>
          <w:tcPr>
            <w:tcW w:w="5387" w:type="dxa"/>
          </w:tcPr>
          <w:p w14:paraId="56AC700D" w14:textId="265804C6" w:rsidR="00551CBD" w:rsidRPr="004941B4" w:rsidRDefault="00551CBD" w:rsidP="004941B4">
            <w:pPr>
              <w:pStyle w:val="ListParagraph"/>
              <w:numPr>
                <w:ilvl w:val="0"/>
                <w:numId w:val="19"/>
              </w:numPr>
              <w:spacing w:after="240"/>
              <w:jc w:val="both"/>
              <w:rPr>
                <w:rFonts w:ascii="Arial" w:hAnsi="Arial"/>
                <w:color w:val="000000" w:themeColor="text1"/>
              </w:rPr>
            </w:pPr>
            <w:r w:rsidRPr="004941B4">
              <w:rPr>
                <w:rFonts w:ascii="Arial" w:hAnsi="Arial"/>
                <w:color w:val="000000" w:themeColor="text1"/>
              </w:rPr>
              <w:t xml:space="preserve">The supplier must ensure that their staff comply with the trusts policies in respect of: </w:t>
            </w:r>
          </w:p>
          <w:p w14:paraId="3FAFC737" w14:textId="2BDCF4EA"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Mental Health Awareness</w:t>
            </w:r>
          </w:p>
          <w:p w14:paraId="557A7002" w14:textId="77777777"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Equality and Diversity.</w:t>
            </w:r>
          </w:p>
          <w:p w14:paraId="5527CD33" w14:textId="77777777"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Security</w:t>
            </w:r>
          </w:p>
          <w:p w14:paraId="72F7FA83" w14:textId="77777777"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Health and Safety</w:t>
            </w:r>
          </w:p>
          <w:p w14:paraId="2E525D64" w14:textId="77777777"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Information Governance</w:t>
            </w:r>
          </w:p>
          <w:p w14:paraId="28D58B17" w14:textId="77777777"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Infection Prevention &amp; Control</w:t>
            </w:r>
          </w:p>
          <w:p w14:paraId="4B42428B" w14:textId="7DD20D40" w:rsidR="00551CBD" w:rsidRPr="00551CBD" w:rsidRDefault="00551CBD" w:rsidP="00551CBD">
            <w:pPr>
              <w:pStyle w:val="ListParagraph"/>
              <w:numPr>
                <w:ilvl w:val="0"/>
                <w:numId w:val="13"/>
              </w:numPr>
              <w:spacing w:after="240"/>
              <w:jc w:val="both"/>
              <w:rPr>
                <w:rFonts w:ascii="Arial" w:hAnsi="Arial"/>
                <w:color w:val="000000" w:themeColor="text1"/>
              </w:rPr>
            </w:pPr>
            <w:r w:rsidRPr="00551CBD">
              <w:rPr>
                <w:rFonts w:ascii="Arial" w:hAnsi="Arial"/>
                <w:color w:val="000000" w:themeColor="text1"/>
              </w:rPr>
              <w:t>Safeguarding of Adults and Children / PREVENT Awareness. (minimum standard the Trust Baseline level information leaflets must be available to staff).</w:t>
            </w:r>
          </w:p>
        </w:tc>
        <w:tc>
          <w:tcPr>
            <w:tcW w:w="5387" w:type="dxa"/>
          </w:tcPr>
          <w:p w14:paraId="47FFB872" w14:textId="5BCF74A5" w:rsidR="00502F0B" w:rsidRPr="007372DE" w:rsidRDefault="00551CBD" w:rsidP="005C0F17">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02F0B" w14:paraId="49D3170A" w14:textId="77777777" w:rsidTr="00FB612C">
        <w:tc>
          <w:tcPr>
            <w:tcW w:w="5387" w:type="dxa"/>
          </w:tcPr>
          <w:p w14:paraId="1B9C373F" w14:textId="170B209B" w:rsidR="00502F0B" w:rsidRPr="004941B4" w:rsidRDefault="00551CBD" w:rsidP="004941B4">
            <w:pPr>
              <w:pStyle w:val="ListParagraph"/>
              <w:numPr>
                <w:ilvl w:val="0"/>
                <w:numId w:val="19"/>
              </w:numPr>
              <w:spacing w:after="240"/>
              <w:jc w:val="both"/>
              <w:rPr>
                <w:rFonts w:ascii="Arial" w:hAnsi="Arial" w:cs="Arial"/>
              </w:rPr>
            </w:pPr>
            <w:r w:rsidRPr="004941B4">
              <w:rPr>
                <w:rFonts w:ascii="Arial" w:hAnsi="Arial" w:cs="Arial"/>
              </w:rPr>
              <w:t xml:space="preserve">The supplier must ensure that staff engaging with the trusts staff and patients act in a non-discriminatory manner. </w:t>
            </w:r>
          </w:p>
        </w:tc>
        <w:tc>
          <w:tcPr>
            <w:tcW w:w="5387" w:type="dxa"/>
          </w:tcPr>
          <w:p w14:paraId="530033E1" w14:textId="29AA88F8" w:rsidR="00502F0B" w:rsidRPr="007372DE" w:rsidRDefault="00551CBD" w:rsidP="00502F0B">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02F0B" w14:paraId="3B8E7620" w14:textId="77777777" w:rsidTr="00FB612C">
        <w:tc>
          <w:tcPr>
            <w:tcW w:w="5387" w:type="dxa"/>
          </w:tcPr>
          <w:p w14:paraId="18031F48" w14:textId="26823E0F" w:rsidR="00502F0B" w:rsidRPr="004941B4" w:rsidRDefault="00551CBD" w:rsidP="004941B4">
            <w:pPr>
              <w:pStyle w:val="ListParagraph"/>
              <w:numPr>
                <w:ilvl w:val="0"/>
                <w:numId w:val="19"/>
              </w:numPr>
              <w:spacing w:after="240"/>
              <w:jc w:val="both"/>
              <w:rPr>
                <w:rFonts w:ascii="Arial" w:hAnsi="Arial" w:cs="Arial"/>
              </w:rPr>
            </w:pPr>
            <w:r w:rsidRPr="004941B4">
              <w:rPr>
                <w:rFonts w:ascii="Arial" w:hAnsi="Arial" w:cs="Arial"/>
              </w:rPr>
              <w:t xml:space="preserve">The trust requires any staff who refuse to be vetted or satisfy trusts be removed from tasks involving the delivery of the service. </w:t>
            </w:r>
          </w:p>
        </w:tc>
        <w:tc>
          <w:tcPr>
            <w:tcW w:w="5387" w:type="dxa"/>
          </w:tcPr>
          <w:p w14:paraId="4AD3D490" w14:textId="0E55542F" w:rsidR="00502F0B" w:rsidRPr="007372DE" w:rsidRDefault="00551CBD" w:rsidP="00502F0B">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02F0B" w14:paraId="16BE2128" w14:textId="77777777" w:rsidTr="00FB612C">
        <w:tc>
          <w:tcPr>
            <w:tcW w:w="5387" w:type="dxa"/>
          </w:tcPr>
          <w:p w14:paraId="6215891B" w14:textId="2A1FF3FF" w:rsidR="00502F0B" w:rsidRPr="004941B4" w:rsidRDefault="00551CBD"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ensure that its staff members do not perform any services alcohol or illegal drugs. The supplier will ensure </w:t>
            </w:r>
            <w:r w:rsidR="00D15817" w:rsidRPr="004941B4">
              <w:rPr>
                <w:rFonts w:ascii="Arial" w:hAnsi="Arial" w:cs="Arial"/>
              </w:rPr>
              <w:t xml:space="preserve">that a system for testing staff members for alcohol and illegal drugs. The trust will provide 14 days’ prior notice in writing of the intention to commence a testing programme. </w:t>
            </w:r>
          </w:p>
        </w:tc>
        <w:tc>
          <w:tcPr>
            <w:tcW w:w="5387" w:type="dxa"/>
          </w:tcPr>
          <w:p w14:paraId="6F39C818" w14:textId="21A9114C" w:rsidR="00502F0B" w:rsidRPr="007372DE" w:rsidRDefault="00CC59C4" w:rsidP="00502F0B">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5652" w14:paraId="37162A80" w14:textId="77777777" w:rsidTr="00FB612C">
        <w:tc>
          <w:tcPr>
            <w:tcW w:w="5387" w:type="dxa"/>
          </w:tcPr>
          <w:p w14:paraId="69931BFF" w14:textId="6ABCA487" w:rsidR="005C5652" w:rsidRPr="004941B4" w:rsidRDefault="00CC59C4"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adhere to quality standards as detailed in section 2.24 of the ITT Specification document. </w:t>
            </w:r>
          </w:p>
        </w:tc>
        <w:tc>
          <w:tcPr>
            <w:tcW w:w="5387" w:type="dxa"/>
          </w:tcPr>
          <w:p w14:paraId="4BA5EA31" w14:textId="6646503A" w:rsidR="005C5652" w:rsidRPr="007372DE" w:rsidRDefault="00CC59C4" w:rsidP="00502F0B">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5652" w14:paraId="67925152" w14:textId="77777777" w:rsidTr="00FB612C">
        <w:tc>
          <w:tcPr>
            <w:tcW w:w="5387" w:type="dxa"/>
          </w:tcPr>
          <w:p w14:paraId="6FC22510" w14:textId="340A9E00" w:rsidR="005C5652" w:rsidRPr="004941B4" w:rsidRDefault="00CC59C4"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adhere to the legislation as details is section 2.25 of the ITT Specification document. </w:t>
            </w:r>
          </w:p>
        </w:tc>
        <w:tc>
          <w:tcPr>
            <w:tcW w:w="5387" w:type="dxa"/>
          </w:tcPr>
          <w:p w14:paraId="0614D093" w14:textId="17C45124" w:rsidR="005C5652" w:rsidRPr="007372DE" w:rsidRDefault="00CC59C4" w:rsidP="00502F0B">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5652" w14:paraId="755A4705" w14:textId="77777777" w:rsidTr="00FB612C">
        <w:tc>
          <w:tcPr>
            <w:tcW w:w="5387" w:type="dxa"/>
          </w:tcPr>
          <w:p w14:paraId="059E6B83" w14:textId="5C10432A" w:rsidR="005C5652" w:rsidRPr="004941B4" w:rsidRDefault="002D39AB"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endeavour to ensure business continuity plan is effective alongside business continuity events and provide updates to training further to any events or incidents that occur and a need for further training is required. </w:t>
            </w:r>
          </w:p>
        </w:tc>
        <w:tc>
          <w:tcPr>
            <w:tcW w:w="5387" w:type="dxa"/>
          </w:tcPr>
          <w:p w14:paraId="298F3112" w14:textId="2F7AF501" w:rsidR="005C5652" w:rsidRPr="007372DE" w:rsidRDefault="002D39AB" w:rsidP="005C5652">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5652" w14:paraId="760037ED" w14:textId="77777777" w:rsidTr="00FB612C">
        <w:tc>
          <w:tcPr>
            <w:tcW w:w="5387" w:type="dxa"/>
          </w:tcPr>
          <w:p w14:paraId="45B1E0B0" w14:textId="1620A869" w:rsidR="005C5652" w:rsidRPr="004941B4" w:rsidRDefault="002D39AB" w:rsidP="004941B4">
            <w:pPr>
              <w:pStyle w:val="ListParagraph"/>
              <w:numPr>
                <w:ilvl w:val="0"/>
                <w:numId w:val="19"/>
              </w:numPr>
              <w:spacing w:after="240"/>
              <w:jc w:val="both"/>
              <w:rPr>
                <w:rFonts w:ascii="Arial" w:hAnsi="Arial" w:cs="Arial"/>
              </w:rPr>
            </w:pPr>
            <w:r w:rsidRPr="004941B4">
              <w:rPr>
                <w:rFonts w:ascii="Arial" w:hAnsi="Arial" w:cs="Arial"/>
              </w:rPr>
              <w:t xml:space="preserve">The supplier will provide an exit plan for the end of the </w:t>
            </w:r>
            <w:proofErr w:type="gramStart"/>
            <w:r w:rsidRPr="004941B4">
              <w:rPr>
                <w:rFonts w:ascii="Arial" w:hAnsi="Arial" w:cs="Arial"/>
              </w:rPr>
              <w:t>contract,</w:t>
            </w:r>
            <w:proofErr w:type="gramEnd"/>
            <w:r w:rsidRPr="004941B4">
              <w:rPr>
                <w:rFonts w:ascii="Arial" w:hAnsi="Arial" w:cs="Arial"/>
              </w:rPr>
              <w:t xml:space="preserve"> this shall include a </w:t>
            </w:r>
            <w:proofErr w:type="gramStart"/>
            <w:r w:rsidRPr="004941B4">
              <w:rPr>
                <w:rFonts w:ascii="Arial" w:hAnsi="Arial" w:cs="Arial"/>
              </w:rPr>
              <w:t>3 month</w:t>
            </w:r>
            <w:proofErr w:type="gramEnd"/>
            <w:r w:rsidRPr="004941B4">
              <w:rPr>
                <w:rFonts w:ascii="Arial" w:hAnsi="Arial" w:cs="Arial"/>
              </w:rPr>
              <w:t xml:space="preserve"> handover period to ensure continuity to the training plan. </w:t>
            </w:r>
          </w:p>
        </w:tc>
        <w:tc>
          <w:tcPr>
            <w:tcW w:w="5387" w:type="dxa"/>
          </w:tcPr>
          <w:p w14:paraId="54059A60" w14:textId="40FAEFC6" w:rsidR="005C5652" w:rsidRPr="007372DE" w:rsidRDefault="002D39AB" w:rsidP="005C5652">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C5652" w14:paraId="435F4A61" w14:textId="77777777" w:rsidTr="00FB612C">
        <w:tc>
          <w:tcPr>
            <w:tcW w:w="5387" w:type="dxa"/>
          </w:tcPr>
          <w:p w14:paraId="732F85FC" w14:textId="2FA2CFE7" w:rsidR="005C5652" w:rsidRPr="004941B4" w:rsidRDefault="002D39AB" w:rsidP="004941B4">
            <w:pPr>
              <w:pStyle w:val="ListParagraph"/>
              <w:numPr>
                <w:ilvl w:val="0"/>
                <w:numId w:val="19"/>
              </w:numPr>
              <w:spacing w:after="240"/>
              <w:jc w:val="both"/>
              <w:rPr>
                <w:rFonts w:ascii="Arial" w:hAnsi="Arial" w:cs="Arial"/>
              </w:rPr>
            </w:pPr>
            <w:r w:rsidRPr="004941B4">
              <w:rPr>
                <w:rFonts w:ascii="Arial" w:hAnsi="Arial" w:cs="Arial"/>
              </w:rPr>
              <w:t xml:space="preserve">The supplier shall operate the service while having due care to the environment and must have an environmental policy </w:t>
            </w:r>
          </w:p>
        </w:tc>
        <w:tc>
          <w:tcPr>
            <w:tcW w:w="5387" w:type="dxa"/>
          </w:tcPr>
          <w:p w14:paraId="013402E2" w14:textId="144FC561" w:rsidR="005C5652" w:rsidRPr="007372DE" w:rsidRDefault="002D39AB" w:rsidP="005C5652">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551CBD" w14:paraId="42858C13" w14:textId="77777777" w:rsidTr="00FB612C">
        <w:tc>
          <w:tcPr>
            <w:tcW w:w="5387" w:type="dxa"/>
          </w:tcPr>
          <w:p w14:paraId="61939AB3" w14:textId="344DC9AE" w:rsidR="00551CBD" w:rsidRPr="004941B4" w:rsidRDefault="002D39AB" w:rsidP="004941B4">
            <w:pPr>
              <w:pStyle w:val="ListParagraph"/>
              <w:numPr>
                <w:ilvl w:val="0"/>
                <w:numId w:val="19"/>
              </w:numPr>
              <w:spacing w:after="240"/>
              <w:jc w:val="both"/>
              <w:rPr>
                <w:rFonts w:ascii="Arial" w:hAnsi="Arial" w:cs="Arial"/>
              </w:rPr>
            </w:pPr>
            <w:r w:rsidRPr="004941B4">
              <w:rPr>
                <w:rFonts w:ascii="Arial" w:hAnsi="Arial" w:cs="Arial"/>
              </w:rPr>
              <w:lastRenderedPageBreak/>
              <w:t xml:space="preserve">The supplier shall adhere to points listed in the Social Economic Responsibility in section 2.32 of the ITT Specification, including: </w:t>
            </w:r>
          </w:p>
          <w:p w14:paraId="4CE4478E" w14:textId="77777777" w:rsidR="002D39AB" w:rsidRDefault="002D39AB" w:rsidP="002D39AB">
            <w:pPr>
              <w:pStyle w:val="ListParagraph"/>
              <w:numPr>
                <w:ilvl w:val="0"/>
                <w:numId w:val="16"/>
              </w:numPr>
              <w:spacing w:after="240"/>
              <w:jc w:val="both"/>
              <w:rPr>
                <w:rFonts w:ascii="Arial" w:hAnsi="Arial" w:cs="Arial"/>
              </w:rPr>
            </w:pPr>
            <w:r>
              <w:rPr>
                <w:rFonts w:ascii="Arial" w:hAnsi="Arial" w:cs="Arial"/>
              </w:rPr>
              <w:t xml:space="preserve">Fair Work </w:t>
            </w:r>
          </w:p>
          <w:p w14:paraId="1FF7F9A3" w14:textId="77777777" w:rsidR="002D39AB" w:rsidRDefault="002D39AB" w:rsidP="002D39AB">
            <w:pPr>
              <w:pStyle w:val="ListParagraph"/>
              <w:numPr>
                <w:ilvl w:val="0"/>
                <w:numId w:val="16"/>
              </w:numPr>
              <w:spacing w:after="240"/>
              <w:jc w:val="both"/>
              <w:rPr>
                <w:rFonts w:ascii="Arial" w:hAnsi="Arial" w:cs="Arial"/>
              </w:rPr>
            </w:pPr>
            <w:r>
              <w:rPr>
                <w:rFonts w:ascii="Arial" w:hAnsi="Arial" w:cs="Arial"/>
              </w:rPr>
              <w:t xml:space="preserve">Skills or Growth </w:t>
            </w:r>
          </w:p>
          <w:p w14:paraId="7EF2FE6D" w14:textId="40D1DAA1" w:rsidR="002D39AB" w:rsidRDefault="002D39AB" w:rsidP="002D39AB">
            <w:pPr>
              <w:pStyle w:val="ListParagraph"/>
              <w:numPr>
                <w:ilvl w:val="0"/>
                <w:numId w:val="16"/>
              </w:numPr>
              <w:spacing w:after="240"/>
              <w:jc w:val="both"/>
              <w:rPr>
                <w:rFonts w:ascii="Arial" w:hAnsi="Arial" w:cs="Arial"/>
              </w:rPr>
            </w:pPr>
            <w:r>
              <w:rPr>
                <w:rFonts w:ascii="Arial" w:hAnsi="Arial" w:cs="Arial"/>
              </w:rPr>
              <w:t xml:space="preserve">Resilient, Innovative and Flexible Supply Chains </w:t>
            </w:r>
          </w:p>
          <w:p w14:paraId="7E8C1551" w14:textId="5F1AD2CA" w:rsidR="002D39AB" w:rsidRDefault="002D39AB" w:rsidP="002D39AB">
            <w:pPr>
              <w:pStyle w:val="ListParagraph"/>
              <w:numPr>
                <w:ilvl w:val="0"/>
                <w:numId w:val="16"/>
              </w:numPr>
              <w:spacing w:after="240"/>
              <w:jc w:val="both"/>
              <w:rPr>
                <w:rFonts w:ascii="Arial" w:hAnsi="Arial" w:cs="Arial"/>
              </w:rPr>
            </w:pPr>
            <w:r>
              <w:rPr>
                <w:rFonts w:ascii="Arial" w:hAnsi="Arial" w:cs="Arial"/>
              </w:rPr>
              <w:t xml:space="preserve">Sustainable Procurement Practises </w:t>
            </w:r>
          </w:p>
          <w:p w14:paraId="0563E521" w14:textId="77777777" w:rsidR="002D39AB" w:rsidRDefault="002D39AB" w:rsidP="002D39AB">
            <w:pPr>
              <w:pStyle w:val="ListParagraph"/>
              <w:numPr>
                <w:ilvl w:val="0"/>
                <w:numId w:val="16"/>
              </w:numPr>
              <w:spacing w:after="240"/>
              <w:jc w:val="both"/>
              <w:rPr>
                <w:rFonts w:ascii="Arial" w:hAnsi="Arial" w:cs="Arial"/>
              </w:rPr>
            </w:pPr>
            <w:r>
              <w:rPr>
                <w:rFonts w:ascii="Arial" w:hAnsi="Arial" w:cs="Arial"/>
              </w:rPr>
              <w:t xml:space="preserve">Support the reduction in Crime through Community Cohesion, awareness raising and action </w:t>
            </w:r>
          </w:p>
          <w:p w14:paraId="096C8159" w14:textId="77777777" w:rsidR="002D39AB" w:rsidRDefault="002D39AB" w:rsidP="002D39AB">
            <w:pPr>
              <w:pStyle w:val="ListParagraph"/>
              <w:numPr>
                <w:ilvl w:val="0"/>
                <w:numId w:val="16"/>
              </w:numPr>
              <w:spacing w:after="240"/>
              <w:jc w:val="both"/>
              <w:rPr>
                <w:rFonts w:ascii="Arial" w:hAnsi="Arial" w:cs="Arial"/>
              </w:rPr>
            </w:pPr>
            <w:r>
              <w:rPr>
                <w:rFonts w:ascii="Arial" w:hAnsi="Arial" w:cs="Arial"/>
              </w:rPr>
              <w:t xml:space="preserve">Employment and training for those who face barriers to employment </w:t>
            </w:r>
          </w:p>
          <w:p w14:paraId="6EA8BEFD" w14:textId="3CB70179" w:rsidR="002D39AB" w:rsidRPr="002D39AB" w:rsidRDefault="002D39AB" w:rsidP="002D39AB">
            <w:pPr>
              <w:pStyle w:val="ListParagraph"/>
              <w:numPr>
                <w:ilvl w:val="0"/>
                <w:numId w:val="16"/>
              </w:numPr>
              <w:spacing w:after="240"/>
              <w:jc w:val="both"/>
              <w:rPr>
                <w:rFonts w:ascii="Arial" w:hAnsi="Arial" w:cs="Arial"/>
              </w:rPr>
            </w:pPr>
            <w:r>
              <w:rPr>
                <w:rFonts w:ascii="Arial" w:hAnsi="Arial" w:cs="Arial"/>
              </w:rPr>
              <w:t xml:space="preserve">Creating a pipeline of opportunities for the contract workforce, reducing barriers to entry for under-represented groups. </w:t>
            </w:r>
          </w:p>
        </w:tc>
        <w:tc>
          <w:tcPr>
            <w:tcW w:w="5387" w:type="dxa"/>
          </w:tcPr>
          <w:p w14:paraId="5AB3E5D9" w14:textId="5353E0D2" w:rsidR="00551CBD" w:rsidRPr="007372DE" w:rsidRDefault="002D39AB" w:rsidP="005C5652">
            <w:pPr>
              <w:spacing w:after="240"/>
              <w:jc w:val="both"/>
              <w:rPr>
                <w:rFonts w:ascii="Arial" w:hAnsi="Arial"/>
                <w:color w:val="548DD4" w:themeColor="text2" w:themeTint="99"/>
              </w:rPr>
            </w:pPr>
            <w:r w:rsidRPr="007372DE">
              <w:rPr>
                <w:rFonts w:ascii="Arial" w:hAnsi="Arial"/>
                <w:color w:val="548DD4" w:themeColor="text2" w:themeTint="99"/>
              </w:rPr>
              <w:t>Comply/</w:t>
            </w:r>
            <w:proofErr w:type="gramStart"/>
            <w:r w:rsidRPr="007372DE">
              <w:rPr>
                <w:rFonts w:ascii="Arial" w:hAnsi="Arial"/>
                <w:color w:val="548DD4" w:themeColor="text2" w:themeTint="99"/>
              </w:rPr>
              <w:t>Non Comply</w:t>
            </w:r>
            <w:proofErr w:type="gramEnd"/>
            <w:r w:rsidRPr="007372DE">
              <w:rPr>
                <w:rFonts w:ascii="Arial" w:hAnsi="Arial"/>
                <w:color w:val="548DD4" w:themeColor="text2" w:themeTint="99"/>
              </w:rPr>
              <w:t>*</w:t>
            </w:r>
          </w:p>
        </w:tc>
      </w:tr>
      <w:tr w:rsidR="002D39AB" w14:paraId="483FBBBB" w14:textId="77777777" w:rsidTr="00FB612C">
        <w:tc>
          <w:tcPr>
            <w:tcW w:w="5387" w:type="dxa"/>
          </w:tcPr>
          <w:p w14:paraId="577C603A" w14:textId="1514C2D2" w:rsidR="002D39AB" w:rsidRDefault="002D39AB" w:rsidP="002D39AB">
            <w:pPr>
              <w:spacing w:after="240"/>
              <w:jc w:val="both"/>
              <w:rPr>
                <w:rFonts w:ascii="Arial" w:hAnsi="Arial" w:cs="Arial"/>
              </w:rPr>
            </w:pPr>
            <w:r>
              <w:rPr>
                <w:rFonts w:ascii="Arial" w:hAnsi="Arial" w:cs="Arial"/>
              </w:rPr>
              <w:t>Completed by (PRINT NAME)</w:t>
            </w:r>
          </w:p>
        </w:tc>
        <w:tc>
          <w:tcPr>
            <w:tcW w:w="5387" w:type="dxa"/>
          </w:tcPr>
          <w:p w14:paraId="59846C68" w14:textId="77777777" w:rsidR="002D39AB" w:rsidRPr="007372DE" w:rsidRDefault="002D39AB" w:rsidP="002D39AB">
            <w:pPr>
              <w:spacing w:after="240"/>
              <w:jc w:val="both"/>
              <w:rPr>
                <w:rFonts w:ascii="Arial" w:hAnsi="Arial"/>
                <w:color w:val="548DD4" w:themeColor="text2" w:themeTint="99"/>
              </w:rPr>
            </w:pPr>
          </w:p>
        </w:tc>
      </w:tr>
      <w:tr w:rsidR="002D39AB" w14:paraId="554ACC16" w14:textId="77777777" w:rsidTr="00FB612C">
        <w:tc>
          <w:tcPr>
            <w:tcW w:w="5387" w:type="dxa"/>
          </w:tcPr>
          <w:p w14:paraId="2AA4294D" w14:textId="5882B965" w:rsidR="002D39AB" w:rsidRDefault="002D39AB" w:rsidP="002D39AB">
            <w:pPr>
              <w:spacing w:after="240"/>
              <w:jc w:val="both"/>
              <w:rPr>
                <w:rFonts w:ascii="Arial" w:hAnsi="Arial" w:cs="Arial"/>
              </w:rPr>
            </w:pPr>
            <w:r>
              <w:rPr>
                <w:rFonts w:ascii="Arial" w:hAnsi="Arial" w:cs="Arial"/>
              </w:rPr>
              <w:t>Position:</w:t>
            </w:r>
          </w:p>
        </w:tc>
        <w:tc>
          <w:tcPr>
            <w:tcW w:w="5387" w:type="dxa"/>
          </w:tcPr>
          <w:p w14:paraId="76D144D6" w14:textId="77777777" w:rsidR="002D39AB" w:rsidRPr="007372DE" w:rsidRDefault="002D39AB" w:rsidP="002D39AB">
            <w:pPr>
              <w:spacing w:after="240"/>
              <w:jc w:val="both"/>
              <w:rPr>
                <w:rFonts w:ascii="Arial" w:hAnsi="Arial"/>
                <w:color w:val="548DD4" w:themeColor="text2" w:themeTint="99"/>
              </w:rPr>
            </w:pPr>
          </w:p>
        </w:tc>
      </w:tr>
      <w:tr w:rsidR="002D39AB" w14:paraId="70D133BD" w14:textId="77777777" w:rsidTr="00FB612C">
        <w:tc>
          <w:tcPr>
            <w:tcW w:w="5387" w:type="dxa"/>
          </w:tcPr>
          <w:p w14:paraId="667643D8" w14:textId="2A0F3FFE" w:rsidR="002D39AB" w:rsidRDefault="002D39AB" w:rsidP="002D39AB">
            <w:pPr>
              <w:spacing w:after="240"/>
              <w:jc w:val="both"/>
              <w:rPr>
                <w:rFonts w:ascii="Arial" w:hAnsi="Arial" w:cs="Arial"/>
              </w:rPr>
            </w:pPr>
            <w:r>
              <w:rPr>
                <w:rFonts w:ascii="Arial" w:hAnsi="Arial" w:cs="Arial"/>
              </w:rPr>
              <w:t>Date of Completion:</w:t>
            </w:r>
          </w:p>
        </w:tc>
        <w:tc>
          <w:tcPr>
            <w:tcW w:w="5387" w:type="dxa"/>
          </w:tcPr>
          <w:p w14:paraId="621593BA" w14:textId="77777777" w:rsidR="002D39AB" w:rsidRPr="007372DE" w:rsidRDefault="002D39AB" w:rsidP="002D39AB">
            <w:pPr>
              <w:spacing w:after="240"/>
              <w:jc w:val="both"/>
              <w:rPr>
                <w:rFonts w:ascii="Arial" w:hAnsi="Arial"/>
                <w:color w:val="548DD4" w:themeColor="text2" w:themeTint="99"/>
              </w:rPr>
            </w:pPr>
          </w:p>
        </w:tc>
      </w:tr>
    </w:tbl>
    <w:p w14:paraId="444AFDC2" w14:textId="77777777" w:rsidR="00CB561A" w:rsidRDefault="00CB561A" w:rsidP="00916867">
      <w:pPr>
        <w:spacing w:after="240" w:line="240" w:lineRule="auto"/>
        <w:jc w:val="both"/>
        <w:rPr>
          <w:rFonts w:ascii="Arial" w:eastAsia="Times New Roman" w:hAnsi="Arial" w:cs="Times New Roman"/>
          <w:color w:val="000000" w:themeColor="text1"/>
          <w:lang w:eastAsia="en-GB"/>
        </w:rPr>
      </w:pPr>
    </w:p>
    <w:p w14:paraId="0BF5E6ED" w14:textId="77777777" w:rsidR="006C68C3" w:rsidRPr="00B943FF" w:rsidRDefault="006C68C3" w:rsidP="00916867">
      <w:pPr>
        <w:spacing w:after="240" w:line="240" w:lineRule="auto"/>
        <w:jc w:val="both"/>
        <w:rPr>
          <w:rFonts w:ascii="Arial" w:eastAsia="Times New Roman" w:hAnsi="Arial" w:cs="Times New Roman"/>
          <w:color w:val="000000" w:themeColor="text1"/>
          <w:lang w:eastAsia="en-GB"/>
        </w:rPr>
      </w:pPr>
    </w:p>
    <w:sectPr w:rsidR="006C68C3" w:rsidRPr="00B943FF" w:rsidSect="00BA62EB">
      <w:footerReference w:type="default" r:id="rId8"/>
      <w:headerReference w:type="first" r:id="rId9"/>
      <w:pgSz w:w="11906" w:h="16838"/>
      <w:pgMar w:top="1701"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1173" w14:textId="77777777" w:rsidR="00B87FAD" w:rsidRDefault="00B87FAD" w:rsidP="00953A62">
      <w:pPr>
        <w:spacing w:after="0" w:line="240" w:lineRule="auto"/>
      </w:pPr>
      <w:r>
        <w:separator/>
      </w:r>
    </w:p>
  </w:endnote>
  <w:endnote w:type="continuationSeparator" w:id="0">
    <w:p w14:paraId="351236EE" w14:textId="77777777" w:rsidR="00B87FAD" w:rsidRDefault="00B87FAD" w:rsidP="0095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29766"/>
      <w:docPartObj>
        <w:docPartGallery w:val="Page Numbers (Bottom of Page)"/>
        <w:docPartUnique/>
      </w:docPartObj>
    </w:sdtPr>
    <w:sdtEndPr>
      <w:rPr>
        <w:noProof/>
      </w:rPr>
    </w:sdtEndPr>
    <w:sdtContent>
      <w:p w14:paraId="1774CA65" w14:textId="77777777" w:rsidR="00B87FAD" w:rsidRDefault="00B87FAD">
        <w:pPr>
          <w:pStyle w:val="Footer"/>
          <w:jc w:val="right"/>
        </w:pPr>
        <w:r>
          <w:fldChar w:fldCharType="begin"/>
        </w:r>
        <w:r>
          <w:instrText xml:space="preserve"> PAGE   \* MERGEFORMAT </w:instrText>
        </w:r>
        <w:r>
          <w:fldChar w:fldCharType="separate"/>
        </w:r>
        <w:r w:rsidR="00354E24">
          <w:rPr>
            <w:noProof/>
          </w:rPr>
          <w:t>2</w:t>
        </w:r>
        <w:r>
          <w:rPr>
            <w:noProof/>
          </w:rPr>
          <w:fldChar w:fldCharType="end"/>
        </w:r>
      </w:p>
    </w:sdtContent>
  </w:sdt>
  <w:p w14:paraId="768550D1" w14:textId="77777777" w:rsidR="00B87FAD" w:rsidRDefault="00B87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0AC7" w14:textId="77777777" w:rsidR="00B87FAD" w:rsidRDefault="00B87FAD" w:rsidP="00953A62">
      <w:pPr>
        <w:spacing w:after="0" w:line="240" w:lineRule="auto"/>
      </w:pPr>
      <w:r>
        <w:separator/>
      </w:r>
    </w:p>
  </w:footnote>
  <w:footnote w:type="continuationSeparator" w:id="0">
    <w:p w14:paraId="4D20C08A" w14:textId="77777777" w:rsidR="00B87FAD" w:rsidRDefault="00B87FAD" w:rsidP="00953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7BBD" w14:textId="77777777" w:rsidR="00B87FAD" w:rsidRDefault="00B87FAD">
    <w:pPr>
      <w:pStyle w:val="Header"/>
    </w:pPr>
    <w:r>
      <w:rPr>
        <w:noProof/>
        <w:lang w:eastAsia="en-GB"/>
      </w:rPr>
      <w:drawing>
        <wp:anchor distT="0" distB="0" distL="114300" distR="114300" simplePos="0" relativeHeight="251659264" behindDoc="1" locked="0" layoutInCell="1" allowOverlap="1" wp14:anchorId="01293F21" wp14:editId="26678ED6">
          <wp:simplePos x="0" y="0"/>
          <wp:positionH relativeFrom="column">
            <wp:posOffset>-927100</wp:posOffset>
          </wp:positionH>
          <wp:positionV relativeFrom="paragraph">
            <wp:posOffset>0</wp:posOffset>
          </wp:positionV>
          <wp:extent cx="7586380" cy="1072799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ronic_UHB_letter_heads_20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6380" cy="107279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5D4"/>
    <w:multiLevelType w:val="multilevel"/>
    <w:tmpl w:val="97065FAE"/>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lowerLetter"/>
      <w:lvlText w:val="%6)"/>
      <w:lvlJc w:val="left"/>
      <w:pPr>
        <w:ind w:left="3960" w:hanging="360"/>
      </w:pPr>
    </w:lvl>
    <w:lvl w:ilvl="6">
      <w:start w:val="1"/>
      <w:numFmt w:val="lowerLetter"/>
      <w:lvlText w:val="(%7)"/>
      <w:lvlJc w:val="left"/>
      <w:pPr>
        <w:ind w:left="468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2882C20"/>
    <w:multiLevelType w:val="hybridMultilevel"/>
    <w:tmpl w:val="17EE86EC"/>
    <w:lvl w:ilvl="0" w:tplc="E4809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F33D3"/>
    <w:multiLevelType w:val="hybridMultilevel"/>
    <w:tmpl w:val="86B2C9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92327"/>
    <w:multiLevelType w:val="hybridMultilevel"/>
    <w:tmpl w:val="52BA06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A27B6C"/>
    <w:multiLevelType w:val="multilevel"/>
    <w:tmpl w:val="75E0A91C"/>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lowerLetter"/>
      <w:lvlText w:val="(%7)"/>
      <w:lvlJc w:val="left"/>
      <w:pPr>
        <w:ind w:left="4680" w:hanging="36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A829DD"/>
    <w:multiLevelType w:val="hybridMultilevel"/>
    <w:tmpl w:val="FAD2CD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002D86"/>
    <w:multiLevelType w:val="hybridMultilevel"/>
    <w:tmpl w:val="C58C2454"/>
    <w:lvl w:ilvl="0" w:tplc="B2F28B9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EB3C34"/>
    <w:multiLevelType w:val="hybridMultilevel"/>
    <w:tmpl w:val="8C32F6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80788"/>
    <w:multiLevelType w:val="hybridMultilevel"/>
    <w:tmpl w:val="1640EA7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3147A"/>
    <w:multiLevelType w:val="hybridMultilevel"/>
    <w:tmpl w:val="A49A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51583"/>
    <w:multiLevelType w:val="hybridMultilevel"/>
    <w:tmpl w:val="31922A00"/>
    <w:lvl w:ilvl="0" w:tplc="E480988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A281536"/>
    <w:multiLevelType w:val="hybridMultilevel"/>
    <w:tmpl w:val="507637CC"/>
    <w:lvl w:ilvl="0" w:tplc="CC846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647B1"/>
    <w:multiLevelType w:val="hybridMultilevel"/>
    <w:tmpl w:val="4C5A6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FB7E31"/>
    <w:multiLevelType w:val="hybridMultilevel"/>
    <w:tmpl w:val="C4B6FB0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61FDE"/>
    <w:multiLevelType w:val="hybridMultilevel"/>
    <w:tmpl w:val="967457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5D2F9B"/>
    <w:multiLevelType w:val="hybridMultilevel"/>
    <w:tmpl w:val="0B40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937FA"/>
    <w:multiLevelType w:val="hybridMultilevel"/>
    <w:tmpl w:val="F67A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26154"/>
    <w:multiLevelType w:val="hybridMultilevel"/>
    <w:tmpl w:val="16AAC230"/>
    <w:lvl w:ilvl="0" w:tplc="08090001">
      <w:start w:val="1"/>
      <w:numFmt w:val="bullet"/>
      <w:pStyle w:val="BulletMOI"/>
      <w:lvlText w:val=""/>
      <w:lvlJc w:val="left"/>
      <w:pPr>
        <w:tabs>
          <w:tab w:val="num" w:pos="1599"/>
        </w:tabs>
        <w:ind w:left="159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6246CE"/>
    <w:multiLevelType w:val="hybridMultilevel"/>
    <w:tmpl w:val="355A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330306">
    <w:abstractNumId w:val="15"/>
  </w:num>
  <w:num w:numId="2" w16cid:durableId="46342217">
    <w:abstractNumId w:val="17"/>
  </w:num>
  <w:num w:numId="3" w16cid:durableId="983511672">
    <w:abstractNumId w:val="10"/>
  </w:num>
  <w:num w:numId="4" w16cid:durableId="110630169">
    <w:abstractNumId w:val="1"/>
  </w:num>
  <w:num w:numId="5" w16cid:durableId="454374078">
    <w:abstractNumId w:val="8"/>
  </w:num>
  <w:num w:numId="6" w16cid:durableId="300888370">
    <w:abstractNumId w:val="18"/>
  </w:num>
  <w:num w:numId="7" w16cid:durableId="2017806110">
    <w:abstractNumId w:val="16"/>
  </w:num>
  <w:num w:numId="8" w16cid:durableId="1774394650">
    <w:abstractNumId w:val="13"/>
  </w:num>
  <w:num w:numId="9" w16cid:durableId="1167943504">
    <w:abstractNumId w:val="6"/>
  </w:num>
  <w:num w:numId="10" w16cid:durableId="455638450">
    <w:abstractNumId w:val="0"/>
  </w:num>
  <w:num w:numId="11" w16cid:durableId="1083992405">
    <w:abstractNumId w:val="7"/>
  </w:num>
  <w:num w:numId="12" w16cid:durableId="618026411">
    <w:abstractNumId w:val="4"/>
  </w:num>
  <w:num w:numId="13" w16cid:durableId="882446052">
    <w:abstractNumId w:val="5"/>
  </w:num>
  <w:num w:numId="14" w16cid:durableId="1382554997">
    <w:abstractNumId w:val="2"/>
  </w:num>
  <w:num w:numId="15" w16cid:durableId="1118912199">
    <w:abstractNumId w:val="3"/>
  </w:num>
  <w:num w:numId="16" w16cid:durableId="124083330">
    <w:abstractNumId w:val="9"/>
  </w:num>
  <w:num w:numId="17" w16cid:durableId="1977177579">
    <w:abstractNumId w:val="11"/>
  </w:num>
  <w:num w:numId="18" w16cid:durableId="987199541">
    <w:abstractNumId w:val="12"/>
  </w:num>
  <w:num w:numId="19" w16cid:durableId="133521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62"/>
    <w:rsid w:val="0005157F"/>
    <w:rsid w:val="00055901"/>
    <w:rsid w:val="00081E61"/>
    <w:rsid w:val="000B4ADD"/>
    <w:rsid w:val="000C7F12"/>
    <w:rsid w:val="00100253"/>
    <w:rsid w:val="00111767"/>
    <w:rsid w:val="00146A8D"/>
    <w:rsid w:val="0014791D"/>
    <w:rsid w:val="0016378C"/>
    <w:rsid w:val="00173655"/>
    <w:rsid w:val="00183E8D"/>
    <w:rsid w:val="001B0085"/>
    <w:rsid w:val="001C30CF"/>
    <w:rsid w:val="001F408D"/>
    <w:rsid w:val="00242C2F"/>
    <w:rsid w:val="002452BB"/>
    <w:rsid w:val="0027038F"/>
    <w:rsid w:val="002973F8"/>
    <w:rsid w:val="002B6327"/>
    <w:rsid w:val="002C747F"/>
    <w:rsid w:val="002D39AB"/>
    <w:rsid w:val="00306748"/>
    <w:rsid w:val="00325BE9"/>
    <w:rsid w:val="00334F84"/>
    <w:rsid w:val="00354E24"/>
    <w:rsid w:val="00375BE5"/>
    <w:rsid w:val="003C760D"/>
    <w:rsid w:val="003D1B74"/>
    <w:rsid w:val="003E1871"/>
    <w:rsid w:val="003E2D21"/>
    <w:rsid w:val="003E541A"/>
    <w:rsid w:val="003F184A"/>
    <w:rsid w:val="00402F6A"/>
    <w:rsid w:val="00407B4B"/>
    <w:rsid w:val="0041787C"/>
    <w:rsid w:val="00422684"/>
    <w:rsid w:val="00444E44"/>
    <w:rsid w:val="00464105"/>
    <w:rsid w:val="004941B4"/>
    <w:rsid w:val="004B523B"/>
    <w:rsid w:val="004D71AB"/>
    <w:rsid w:val="00502F0B"/>
    <w:rsid w:val="005217BE"/>
    <w:rsid w:val="00522DA9"/>
    <w:rsid w:val="0053173A"/>
    <w:rsid w:val="00533073"/>
    <w:rsid w:val="00534D88"/>
    <w:rsid w:val="00534E67"/>
    <w:rsid w:val="00536FAC"/>
    <w:rsid w:val="00551CBD"/>
    <w:rsid w:val="0055664B"/>
    <w:rsid w:val="00567A47"/>
    <w:rsid w:val="00587C9D"/>
    <w:rsid w:val="005C0F17"/>
    <w:rsid w:val="005C5652"/>
    <w:rsid w:val="00622565"/>
    <w:rsid w:val="006278E2"/>
    <w:rsid w:val="006368A8"/>
    <w:rsid w:val="00646136"/>
    <w:rsid w:val="0064631B"/>
    <w:rsid w:val="00654668"/>
    <w:rsid w:val="006746C8"/>
    <w:rsid w:val="006964C5"/>
    <w:rsid w:val="006A7AAD"/>
    <w:rsid w:val="006C68C3"/>
    <w:rsid w:val="006C7A77"/>
    <w:rsid w:val="00706F8F"/>
    <w:rsid w:val="0073398C"/>
    <w:rsid w:val="007372DE"/>
    <w:rsid w:val="00737AD7"/>
    <w:rsid w:val="00761067"/>
    <w:rsid w:val="00774102"/>
    <w:rsid w:val="007810BA"/>
    <w:rsid w:val="007A2ACF"/>
    <w:rsid w:val="007A7590"/>
    <w:rsid w:val="007B6E04"/>
    <w:rsid w:val="007D1773"/>
    <w:rsid w:val="007E16D0"/>
    <w:rsid w:val="007E281D"/>
    <w:rsid w:val="007E70C9"/>
    <w:rsid w:val="00801632"/>
    <w:rsid w:val="008423F3"/>
    <w:rsid w:val="00876B5B"/>
    <w:rsid w:val="00896B55"/>
    <w:rsid w:val="008C1A39"/>
    <w:rsid w:val="008C5F83"/>
    <w:rsid w:val="00916867"/>
    <w:rsid w:val="009344D3"/>
    <w:rsid w:val="00946760"/>
    <w:rsid w:val="00953A62"/>
    <w:rsid w:val="00956F8F"/>
    <w:rsid w:val="0099512A"/>
    <w:rsid w:val="009A0282"/>
    <w:rsid w:val="009A18E7"/>
    <w:rsid w:val="009B092E"/>
    <w:rsid w:val="009E4F92"/>
    <w:rsid w:val="009E564B"/>
    <w:rsid w:val="00A12FF5"/>
    <w:rsid w:val="00A140C3"/>
    <w:rsid w:val="00A17309"/>
    <w:rsid w:val="00A37EE9"/>
    <w:rsid w:val="00A42C45"/>
    <w:rsid w:val="00A458A4"/>
    <w:rsid w:val="00A80B5C"/>
    <w:rsid w:val="00AA56B3"/>
    <w:rsid w:val="00AC3D6E"/>
    <w:rsid w:val="00AD134F"/>
    <w:rsid w:val="00AE5C6E"/>
    <w:rsid w:val="00B03517"/>
    <w:rsid w:val="00B12316"/>
    <w:rsid w:val="00B31CC4"/>
    <w:rsid w:val="00B6220B"/>
    <w:rsid w:val="00B65431"/>
    <w:rsid w:val="00B87FAD"/>
    <w:rsid w:val="00B933C6"/>
    <w:rsid w:val="00B943FF"/>
    <w:rsid w:val="00BA62EB"/>
    <w:rsid w:val="00C03F13"/>
    <w:rsid w:val="00C25A94"/>
    <w:rsid w:val="00C42CDA"/>
    <w:rsid w:val="00C55DC8"/>
    <w:rsid w:val="00C8145C"/>
    <w:rsid w:val="00C8440B"/>
    <w:rsid w:val="00CB1DED"/>
    <w:rsid w:val="00CB561A"/>
    <w:rsid w:val="00CC59C4"/>
    <w:rsid w:val="00CF562B"/>
    <w:rsid w:val="00D14480"/>
    <w:rsid w:val="00D15817"/>
    <w:rsid w:val="00D16274"/>
    <w:rsid w:val="00D45CE8"/>
    <w:rsid w:val="00D600CC"/>
    <w:rsid w:val="00D71F76"/>
    <w:rsid w:val="00D75E51"/>
    <w:rsid w:val="00D76C62"/>
    <w:rsid w:val="00DA3210"/>
    <w:rsid w:val="00DD180C"/>
    <w:rsid w:val="00E1183B"/>
    <w:rsid w:val="00E152C7"/>
    <w:rsid w:val="00E7666B"/>
    <w:rsid w:val="00E86FEC"/>
    <w:rsid w:val="00E96135"/>
    <w:rsid w:val="00EE1DCF"/>
    <w:rsid w:val="00EE6785"/>
    <w:rsid w:val="00F11443"/>
    <w:rsid w:val="00F2280B"/>
    <w:rsid w:val="00F332D4"/>
    <w:rsid w:val="00F42378"/>
    <w:rsid w:val="00F52F36"/>
    <w:rsid w:val="00F778DC"/>
    <w:rsid w:val="00F81599"/>
    <w:rsid w:val="00F8308E"/>
    <w:rsid w:val="00F8618F"/>
    <w:rsid w:val="00F8633F"/>
    <w:rsid w:val="00F95013"/>
    <w:rsid w:val="00FA103F"/>
    <w:rsid w:val="00FA64E0"/>
    <w:rsid w:val="00FB2D4C"/>
    <w:rsid w:val="00FB5829"/>
    <w:rsid w:val="00FB612C"/>
    <w:rsid w:val="00FC0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08C184"/>
  <w15:docId w15:val="{7A1FB5F5-93B0-4944-9D9D-20ECADA6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A62"/>
  </w:style>
  <w:style w:type="paragraph" w:styleId="Footer">
    <w:name w:val="footer"/>
    <w:basedOn w:val="Normal"/>
    <w:link w:val="FooterChar"/>
    <w:uiPriority w:val="99"/>
    <w:unhideWhenUsed/>
    <w:rsid w:val="00953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A62"/>
  </w:style>
  <w:style w:type="paragraph" w:styleId="BalloonText">
    <w:name w:val="Balloon Text"/>
    <w:basedOn w:val="Normal"/>
    <w:link w:val="BalloonTextChar"/>
    <w:uiPriority w:val="99"/>
    <w:semiHidden/>
    <w:unhideWhenUsed/>
    <w:rsid w:val="00953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A62"/>
    <w:rPr>
      <w:rFonts w:ascii="Tahoma" w:hAnsi="Tahoma" w:cs="Tahoma"/>
      <w:sz w:val="16"/>
      <w:szCs w:val="16"/>
    </w:rPr>
  </w:style>
  <w:style w:type="paragraph" w:styleId="NoSpacing">
    <w:name w:val="No Spacing"/>
    <w:uiPriority w:val="1"/>
    <w:qFormat/>
    <w:rsid w:val="00536FAC"/>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536FAC"/>
    <w:pPr>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Pa2">
    <w:name w:val="Pa2"/>
    <w:basedOn w:val="Default"/>
    <w:next w:val="Default"/>
    <w:uiPriority w:val="99"/>
    <w:rsid w:val="00536FAC"/>
    <w:pPr>
      <w:spacing w:line="201" w:lineRule="atLeast"/>
    </w:pPr>
    <w:rPr>
      <w:rFonts w:cs="Times New Roman"/>
      <w:color w:val="auto"/>
    </w:rPr>
  </w:style>
  <w:style w:type="paragraph" w:customStyle="1" w:styleId="BulletMOI">
    <w:name w:val="Bullet MOI"/>
    <w:basedOn w:val="Normal"/>
    <w:rsid w:val="00111767"/>
    <w:pPr>
      <w:numPr>
        <w:numId w:val="2"/>
      </w:numPr>
      <w:tabs>
        <w:tab w:val="left" w:pos="720"/>
      </w:tabs>
      <w:spacing w:after="0" w:line="240" w:lineRule="auto"/>
    </w:pPr>
    <w:rPr>
      <w:rFonts w:ascii="Arial" w:eastAsia="Arial" w:hAnsi="Arial" w:cs="Arial"/>
      <w:lang w:eastAsia="en-GB"/>
    </w:rPr>
  </w:style>
  <w:style w:type="table" w:styleId="TableGrid">
    <w:name w:val="Table Grid"/>
    <w:basedOn w:val="TableNormal"/>
    <w:uiPriority w:val="59"/>
    <w:rsid w:val="001117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785"/>
    <w:pPr>
      <w:ind w:left="720"/>
      <w:contextualSpacing/>
    </w:pPr>
  </w:style>
  <w:style w:type="table" w:customStyle="1" w:styleId="TableGrid1">
    <w:name w:val="Table Grid1"/>
    <w:basedOn w:val="TableNormal"/>
    <w:next w:val="TableGrid"/>
    <w:uiPriority w:val="59"/>
    <w:rsid w:val="00C81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66114">
      <w:bodyDiv w:val="1"/>
      <w:marLeft w:val="0"/>
      <w:marRight w:val="0"/>
      <w:marTop w:val="0"/>
      <w:marBottom w:val="0"/>
      <w:divBdr>
        <w:top w:val="none" w:sz="0" w:space="0" w:color="auto"/>
        <w:left w:val="none" w:sz="0" w:space="0" w:color="auto"/>
        <w:bottom w:val="none" w:sz="0" w:space="0" w:color="auto"/>
        <w:right w:val="none" w:sz="0" w:space="0" w:color="auto"/>
      </w:divBdr>
    </w:div>
    <w:div w:id="17315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31EA-31A1-4E7F-AA29-2B4009B3C1AA}">
  <ds:schemaRefs>
    <ds:schemaRef ds:uri="http://schemas.openxmlformats.org/officeDocument/2006/bibliography"/>
  </ds:schemaRefs>
</ds:datastoreItem>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Ricks</dc:creator>
  <cp:lastModifiedBy>Claire McGarrity</cp:lastModifiedBy>
  <cp:revision>3</cp:revision>
  <cp:lastPrinted>2020-06-15T15:22:00Z</cp:lastPrinted>
  <dcterms:created xsi:type="dcterms:W3CDTF">2025-12-16T15:25:00Z</dcterms:created>
  <dcterms:modified xsi:type="dcterms:W3CDTF">2026-01-08T14:30:00Z</dcterms:modified>
</cp:coreProperties>
</file>