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Market Engagement - </w:t>
      </w:r>
      <w:r w:rsidDel="00000000" w:rsidR="00000000" w:rsidRPr="00000000">
        <w:rPr>
          <w:b w:val="1"/>
          <w:sz w:val="28"/>
          <w:szCs w:val="28"/>
          <w:rtl w:val="0"/>
        </w:rPr>
        <w:t xml:space="preserve">Medals and Insignia 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QUESTIONNAIRE</w:t>
      </w:r>
    </w:p>
    <w:p w:rsidR="00000000" w:rsidDel="00000000" w:rsidP="00000000" w:rsidRDefault="00000000" w:rsidRPr="00000000" w14:paraId="00000003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Please complete the following questionnaire, inserting ‘Pass’ where you do not wish to provide a response.</w:t>
      </w:r>
    </w:p>
    <w:p w:rsidR="00000000" w:rsidDel="00000000" w:rsidP="00000000" w:rsidRDefault="00000000" w:rsidRPr="00000000" w14:paraId="00000004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Please do not input text into the cells that are filled grey</w:t>
      </w:r>
    </w:p>
    <w:tbl>
      <w:tblPr>
        <w:tblStyle w:val="Table1"/>
        <w:tblW w:w="1394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46"/>
        <w:gridCol w:w="4252"/>
        <w:gridCol w:w="8850"/>
        <w:tblGridChange w:id="0">
          <w:tblGrid>
            <w:gridCol w:w="846"/>
            <w:gridCol w:w="4252"/>
            <w:gridCol w:w="885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Ref</w:t>
            </w:r>
          </w:p>
        </w:tc>
        <w:tc>
          <w:tcPr/>
          <w:p w:rsidR="00000000" w:rsidDel="00000000" w:rsidP="00000000" w:rsidRDefault="00000000" w:rsidRPr="00000000" w14:paraId="00000006">
            <w:pPr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Question</w:t>
            </w:r>
          </w:p>
          <w:p w:rsidR="00000000" w:rsidDel="00000000" w:rsidP="00000000" w:rsidRDefault="00000000" w:rsidRPr="00000000" w14:paraId="00000007">
            <w:pPr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Please enter your responses below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ORGANISATION</w:t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0B">
            <w:pPr>
              <w:jc w:val="center"/>
              <w:rPr>
                <w:sz w:val="20"/>
                <w:szCs w:val="20"/>
                <w:shd w:fill="b7b7b7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1.a</w:t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Name and Address of your organisation</w:t>
            </w:r>
          </w:p>
          <w:p w:rsidR="00000000" w:rsidDel="00000000" w:rsidP="00000000" w:rsidRDefault="00000000" w:rsidRPr="00000000" w14:paraId="0000000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1.b</w:t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Your Company Number</w:t>
            </w:r>
          </w:p>
          <w:p w:rsidR="00000000" w:rsidDel="00000000" w:rsidP="00000000" w:rsidRDefault="00000000" w:rsidRPr="00000000" w14:paraId="0000001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1.c</w:t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How many staff does your company employ (this will help us to identify if you are a small, medium or large company)?</w:t>
            </w:r>
          </w:p>
        </w:tc>
        <w:tc>
          <w:tcPr/>
          <w:p w:rsidR="00000000" w:rsidDel="00000000" w:rsidP="00000000" w:rsidRDefault="00000000" w:rsidRPr="00000000" w14:paraId="0000001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GOODS AND SERVICES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7b7b7" w:val="clear"/>
          </w:tcPr>
          <w:p w:rsidR="00000000" w:rsidDel="00000000" w:rsidP="00000000" w:rsidRDefault="00000000" w:rsidRPr="00000000" w14:paraId="00000019">
            <w:pPr>
              <w:jc w:val="center"/>
              <w:rPr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2.a</w:t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What goods or services do you currently provide which are relevant to this Medals and Insignia procurement?</w:t>
            </w:r>
          </w:p>
        </w:tc>
        <w:tc>
          <w:tcPr/>
          <w:p w:rsidR="00000000" w:rsidDel="00000000" w:rsidP="00000000" w:rsidRDefault="00000000" w:rsidRPr="00000000" w14:paraId="0000001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2.b</w:t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Are there any specific elements of the requirements which you would like to bid to deliver?  Why are these of particular interest?</w:t>
            </w:r>
          </w:p>
        </w:tc>
        <w:tc>
          <w:tcPr/>
          <w:p w:rsidR="00000000" w:rsidDel="00000000" w:rsidP="00000000" w:rsidRDefault="00000000" w:rsidRPr="00000000" w14:paraId="0000001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2.c</w:t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Are there any specific elements of the requirements for which you would not bid?  Why would you not be interested in bidding for these?</w:t>
            </w:r>
          </w:p>
        </w:tc>
        <w:tc>
          <w:tcPr/>
          <w:p w:rsidR="00000000" w:rsidDel="00000000" w:rsidP="00000000" w:rsidRDefault="00000000" w:rsidRPr="00000000" w14:paraId="0000002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2.d</w:t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As part of the Planned Procurement Notice, we have shared the technical specifications (including photographs) for each medal and insignia.  Is there any further specific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information you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require to allow you to decide if you wish to bid to deliver a medal or insignia?</w:t>
            </w:r>
          </w:p>
        </w:tc>
        <w:tc>
          <w:tcPr/>
          <w:p w:rsidR="00000000" w:rsidDel="00000000" w:rsidP="00000000" w:rsidRDefault="00000000" w:rsidRPr="00000000" w14:paraId="0000002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BIDDING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7b7b7" w:val="clear"/>
          </w:tcPr>
          <w:p w:rsidR="00000000" w:rsidDel="00000000" w:rsidP="00000000" w:rsidRDefault="00000000" w:rsidRPr="00000000" w14:paraId="0000002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3.a</w:t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Are there elements of the bidding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process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that are of particular concern to you and which might impact your decision to bid?</w:t>
            </w:r>
          </w:p>
        </w:tc>
        <w:tc>
          <w:tcPr/>
          <w:p w:rsidR="00000000" w:rsidDel="00000000" w:rsidP="00000000" w:rsidRDefault="00000000" w:rsidRPr="00000000" w14:paraId="0000002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3.b</w:t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If you bid to deliver some or all of the requirements, would you be bidding as an individual organisation, a lead supplier with subcontractor/s, a consortium, or other?  If other please explain.</w:t>
            </w:r>
          </w:p>
        </w:tc>
        <w:tc>
          <w:tcPr/>
          <w:p w:rsidR="00000000" w:rsidDel="00000000" w:rsidP="00000000" w:rsidRDefault="00000000" w:rsidRPr="00000000" w14:paraId="0000002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/>
          <w:p w:rsidR="00000000" w:rsidDel="00000000" w:rsidP="00000000" w:rsidRDefault="00000000" w:rsidRPr="00000000" w14:paraId="0000002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3.c</w:t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What are your views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on the possibility of the contract being awarded to just one supplier with that supplier having an obligation to subcontract work to one or more SMEs?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/>
          <w:p w:rsidR="00000000" w:rsidDel="00000000" w:rsidP="00000000" w:rsidRDefault="00000000" w:rsidRPr="00000000" w14:paraId="0000003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3.d</w:t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Previously we have presented bidders with a list of 80+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individua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l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medals or insignia (referred to as ‘Lots’) against which to bid.  Would there be advantages to bundling these into groups of medals and/or insignia  instead and asking bidders to propose a per unit price for each group of medals and/or insignia?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Do you have any views on which items could sensibly be bundled together?</w:t>
            </w:r>
          </w:p>
        </w:tc>
        <w:tc>
          <w:tcPr/>
          <w:p w:rsidR="00000000" w:rsidDel="00000000" w:rsidP="00000000" w:rsidRDefault="00000000" w:rsidRPr="00000000" w14:paraId="00000034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/>
          <w:p w:rsidR="00000000" w:rsidDel="00000000" w:rsidP="00000000" w:rsidRDefault="00000000" w:rsidRPr="00000000" w14:paraId="0000003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3.e</w:t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It is envisaged that Call-Offs (individual orders of medals and/or insignia) will be placed under the Framework Agreement on an annual basis, for the purchase of medals for the coming year. Do you perceive there to be any  potential opportunities and/or obstacles in running a competition on each lot on an annual basis?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/>
          <w:p w:rsidR="00000000" w:rsidDel="00000000" w:rsidP="00000000" w:rsidRDefault="00000000" w:rsidRPr="00000000" w14:paraId="0000003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4. </w:t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MARKET CONDITIONS</w:t>
            </w:r>
          </w:p>
        </w:tc>
        <w:tc>
          <w:tcPr>
            <w:shd w:fill="b7b7b7" w:val="clear"/>
          </w:tcPr>
          <w:p w:rsidR="00000000" w:rsidDel="00000000" w:rsidP="00000000" w:rsidRDefault="00000000" w:rsidRPr="00000000" w14:paraId="0000003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4.a</w:t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Is the market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currently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experiencing any specific supply chain issues (e.g. availability/price of materials for medals, insignia, ribbons or boxes, or availability of a specialist workmanship such as enamelling  etc) that might affect delivery of the requirements?</w:t>
            </w:r>
          </w:p>
        </w:tc>
        <w:tc>
          <w:tcPr/>
          <w:p w:rsidR="00000000" w:rsidDel="00000000" w:rsidP="00000000" w:rsidRDefault="00000000" w:rsidRPr="00000000" w14:paraId="0000003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4.b</w:t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Are there risks to delivery in the short (1-2 years), medium (2-4 years) or long (&gt;4 years) term that might affect delivery of the requirements?</w:t>
            </w:r>
          </w:p>
        </w:tc>
        <w:tc>
          <w:tcPr/>
          <w:p w:rsidR="00000000" w:rsidDel="00000000" w:rsidP="00000000" w:rsidRDefault="00000000" w:rsidRPr="00000000" w14:paraId="0000004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042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GENERAL</w:t>
            </w:r>
          </w:p>
        </w:tc>
        <w:tc>
          <w:tcPr>
            <w:shd w:fill="b7b7b7" w:val="clear"/>
          </w:tcPr>
          <w:p w:rsidR="00000000" w:rsidDel="00000000" w:rsidP="00000000" w:rsidRDefault="00000000" w:rsidRPr="00000000" w14:paraId="0000004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5.a</w:t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Are there any further points you would like to make that would assist with the development of the procurement strategy and processes?</w:t>
            </w:r>
          </w:p>
        </w:tc>
        <w:tc>
          <w:tcPr/>
          <w:p w:rsidR="00000000" w:rsidDel="00000000" w:rsidP="00000000" w:rsidRDefault="00000000" w:rsidRPr="00000000" w14:paraId="0000004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7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6.</w:t>
            </w:r>
          </w:p>
        </w:tc>
        <w:tc>
          <w:tcPr/>
          <w:p w:rsidR="00000000" w:rsidDel="00000000" w:rsidP="00000000" w:rsidRDefault="00000000" w:rsidRPr="00000000" w14:paraId="00000048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CONTACT DETAILS</w:t>
            </w:r>
          </w:p>
        </w:tc>
        <w:tc>
          <w:tcPr>
            <w:shd w:fill="b7b7b7" w:val="clear"/>
          </w:tcPr>
          <w:p w:rsidR="00000000" w:rsidDel="00000000" w:rsidP="00000000" w:rsidRDefault="00000000" w:rsidRPr="00000000" w14:paraId="0000004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6.a</w:t>
            </w:r>
          </w:p>
        </w:tc>
        <w:tc>
          <w:tcPr/>
          <w:p w:rsidR="00000000" w:rsidDel="00000000" w:rsidP="00000000" w:rsidRDefault="00000000" w:rsidRPr="00000000" w14:paraId="0000004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We may wish to follow up with you.  If you would be open to this, please provide contact details.</w:t>
            </w:r>
          </w:p>
        </w:tc>
        <w:tc>
          <w:tcPr/>
          <w:p w:rsidR="00000000" w:rsidDel="00000000" w:rsidP="00000000" w:rsidRDefault="00000000" w:rsidRPr="00000000" w14:paraId="0000004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Contract Name:</w:t>
            </w:r>
          </w:p>
          <w:p w:rsidR="00000000" w:rsidDel="00000000" w:rsidP="00000000" w:rsidRDefault="00000000" w:rsidRPr="00000000" w14:paraId="0000004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Email Address:</w:t>
            </w:r>
          </w:p>
          <w:p w:rsidR="00000000" w:rsidDel="00000000" w:rsidP="00000000" w:rsidRDefault="00000000" w:rsidRPr="00000000" w14:paraId="0000004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0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b w:val="1"/>
          <w:sz w:val="28"/>
          <w:szCs w:val="28"/>
          <w:rtl w:val="0"/>
        </w:rPr>
        <w:t xml:space="preserve">Thank you for taking time to complete this questionnaire.</w:t>
      </w:r>
      <w:r w:rsidDel="00000000" w:rsidR="00000000" w:rsidRPr="00000000">
        <w:rPr>
          <w:rtl w:val="0"/>
        </w:rPr>
      </w:r>
    </w:p>
    <w:sectPr>
      <w:pgSz w:h="11906" w:w="16838" w:orient="landscape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8C0ED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7525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75254B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75254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75254B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75254B"/>
    <w:rPr>
      <w:b w:val="1"/>
      <w:bCs w:val="1"/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+G3kDPQLpfhKvvEDTuQ0cW9XGw==">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2025-04-24T09:58:00Z</dcterms:created>
  <dc:creator>Bridghe Forde</dc:creator>
</cp:coreProperties>
</file>