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6BFA" w14:textId="77777777" w:rsidR="00A11036" w:rsidRDefault="00000000">
      <w:pPr>
        <w:pStyle w:val="Heading1"/>
      </w:pPr>
      <w:r>
        <w:t xml:space="preserve">KPI Schedule – P21.85 </w:t>
      </w:r>
      <w:proofErr w:type="spellStart"/>
      <w:r>
        <w:t>OpenAthens</w:t>
      </w:r>
      <w:proofErr w:type="spellEnd"/>
      <w:r>
        <w:t xml:space="preserve"> Authentication</w:t>
      </w:r>
    </w:p>
    <w:p w14:paraId="05D8748C" w14:textId="77777777" w:rsidR="00BF0397" w:rsidRPr="00BF0397" w:rsidRDefault="00BF0397" w:rsidP="00BF03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727"/>
        <w:gridCol w:w="1727"/>
        <w:gridCol w:w="1726"/>
        <w:gridCol w:w="1726"/>
      </w:tblGrid>
      <w:tr w:rsidR="00A11036" w14:paraId="098E0FD3" w14:textId="77777777" w:rsidTr="00BF0397">
        <w:tc>
          <w:tcPr>
            <w:tcW w:w="1728" w:type="dxa"/>
          </w:tcPr>
          <w:p w14:paraId="7A960878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KPI No.</w:t>
            </w:r>
          </w:p>
        </w:tc>
        <w:tc>
          <w:tcPr>
            <w:tcW w:w="1728" w:type="dxa"/>
          </w:tcPr>
          <w:p w14:paraId="68CFDBB4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KPI Title</w:t>
            </w:r>
          </w:p>
        </w:tc>
        <w:tc>
          <w:tcPr>
            <w:tcW w:w="1728" w:type="dxa"/>
          </w:tcPr>
          <w:p w14:paraId="092C745E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Description / Requirement</w:t>
            </w:r>
          </w:p>
        </w:tc>
        <w:tc>
          <w:tcPr>
            <w:tcW w:w="1728" w:type="dxa"/>
          </w:tcPr>
          <w:p w14:paraId="0978E3D0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Performance Measure</w:t>
            </w:r>
          </w:p>
        </w:tc>
        <w:tc>
          <w:tcPr>
            <w:tcW w:w="1728" w:type="dxa"/>
          </w:tcPr>
          <w:p w14:paraId="7DC855BC" w14:textId="654A0189" w:rsidR="00A11036" w:rsidRPr="00BF0397" w:rsidRDefault="00BF03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 xml:space="preserve">ITT </w:t>
            </w:r>
            <w:r w:rsidR="00000000" w:rsidRPr="00BF0397">
              <w:rPr>
                <w:rFonts w:asciiTheme="majorHAnsi" w:hAnsiTheme="majorHAnsi" w:cstheme="majorHAnsi"/>
                <w:sz w:val="20"/>
                <w:szCs w:val="20"/>
              </w:rPr>
              <w:t>Reference</w:t>
            </w:r>
          </w:p>
        </w:tc>
      </w:tr>
      <w:tr w:rsidR="00A11036" w14:paraId="017A245A" w14:textId="77777777" w:rsidTr="00BF0397">
        <w:tc>
          <w:tcPr>
            <w:tcW w:w="1728" w:type="dxa"/>
          </w:tcPr>
          <w:p w14:paraId="2A01D550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14:paraId="236138BA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Response Time to Issues</w:t>
            </w:r>
          </w:p>
        </w:tc>
        <w:tc>
          <w:tcPr>
            <w:tcW w:w="1728" w:type="dxa"/>
          </w:tcPr>
          <w:p w14:paraId="63CA092A" w14:textId="216D70E2" w:rsidR="00A11036" w:rsidRPr="00BF0397" w:rsidRDefault="00BF03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Suppliers</w:t>
            </w:r>
            <w:r w:rsidR="00000000" w:rsidRPr="00BF0397">
              <w:rPr>
                <w:rFonts w:asciiTheme="majorHAnsi" w:hAnsiTheme="majorHAnsi" w:cstheme="majorHAnsi"/>
                <w:sz w:val="20"/>
                <w:szCs w:val="20"/>
              </w:rPr>
              <w:t xml:space="preserve"> must respond to complaints, technical issues, and general enquiries.</w:t>
            </w:r>
          </w:p>
        </w:tc>
        <w:tc>
          <w:tcPr>
            <w:tcW w:w="1728" w:type="dxa"/>
          </w:tcPr>
          <w:p w14:paraId="58CE890B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Response issued within 24 hours (excluding automated replies).</w:t>
            </w:r>
          </w:p>
        </w:tc>
        <w:tc>
          <w:tcPr>
            <w:tcW w:w="1728" w:type="dxa"/>
          </w:tcPr>
          <w:p w14:paraId="066C3D59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3.6.2.1</w:t>
            </w:r>
          </w:p>
        </w:tc>
      </w:tr>
      <w:tr w:rsidR="00A11036" w14:paraId="218F1F8C" w14:textId="77777777" w:rsidTr="00BF0397">
        <w:tc>
          <w:tcPr>
            <w:tcW w:w="1728" w:type="dxa"/>
          </w:tcPr>
          <w:p w14:paraId="45D139D5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14:paraId="06A46F82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Resolution of Technical Issues</w:t>
            </w:r>
          </w:p>
        </w:tc>
        <w:tc>
          <w:tcPr>
            <w:tcW w:w="1728" w:type="dxa"/>
          </w:tcPr>
          <w:p w14:paraId="6D5685F9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Fix and restore service or provide a clear route to resolution.</w:t>
            </w:r>
          </w:p>
        </w:tc>
        <w:tc>
          <w:tcPr>
            <w:tcW w:w="1728" w:type="dxa"/>
          </w:tcPr>
          <w:p w14:paraId="2B5E80B1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Resolved within 2 working days or route provided.</w:t>
            </w:r>
          </w:p>
        </w:tc>
        <w:tc>
          <w:tcPr>
            <w:tcW w:w="1728" w:type="dxa"/>
          </w:tcPr>
          <w:p w14:paraId="637BDB0B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3.6.3.1</w:t>
            </w:r>
          </w:p>
        </w:tc>
      </w:tr>
      <w:tr w:rsidR="00A11036" w14:paraId="231ABD97" w14:textId="77777777" w:rsidTr="00BF0397">
        <w:tc>
          <w:tcPr>
            <w:tcW w:w="1728" w:type="dxa"/>
          </w:tcPr>
          <w:p w14:paraId="0AB9FC94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14:paraId="1C1B6E85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General Enquiry Resolution Rate</w:t>
            </w:r>
          </w:p>
        </w:tc>
        <w:tc>
          <w:tcPr>
            <w:tcW w:w="1728" w:type="dxa"/>
          </w:tcPr>
          <w:p w14:paraId="636B92FF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Timely closure of general enquiries and development requests.</w:t>
            </w:r>
          </w:p>
        </w:tc>
        <w:tc>
          <w:tcPr>
            <w:tcW w:w="1728" w:type="dxa"/>
          </w:tcPr>
          <w:p w14:paraId="30F320B2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95% resolved within 18 working days or route provided.</w:t>
            </w:r>
          </w:p>
        </w:tc>
        <w:tc>
          <w:tcPr>
            <w:tcW w:w="1728" w:type="dxa"/>
          </w:tcPr>
          <w:p w14:paraId="7A3A2141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3.6.3.2</w:t>
            </w:r>
          </w:p>
        </w:tc>
      </w:tr>
      <w:tr w:rsidR="00A11036" w14:paraId="35CDDC5F" w14:textId="77777777" w:rsidTr="00BF0397">
        <w:tc>
          <w:tcPr>
            <w:tcW w:w="1728" w:type="dxa"/>
          </w:tcPr>
          <w:p w14:paraId="53E810D0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728" w:type="dxa"/>
          </w:tcPr>
          <w:p w14:paraId="08D9D5EE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Incident Notification</w:t>
            </w:r>
          </w:p>
        </w:tc>
        <w:tc>
          <w:tcPr>
            <w:tcW w:w="1728" w:type="dxa"/>
          </w:tcPr>
          <w:p w14:paraId="27F0C130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Notification of any incident including unscheduled downtime.</w:t>
            </w:r>
          </w:p>
        </w:tc>
        <w:tc>
          <w:tcPr>
            <w:tcW w:w="1728" w:type="dxa"/>
          </w:tcPr>
          <w:p w14:paraId="5A300AFA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Notify within 2 hours.</w:t>
            </w:r>
          </w:p>
        </w:tc>
        <w:tc>
          <w:tcPr>
            <w:tcW w:w="1728" w:type="dxa"/>
          </w:tcPr>
          <w:p w14:paraId="00221009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3.6.4.3</w:t>
            </w:r>
          </w:p>
        </w:tc>
      </w:tr>
      <w:tr w:rsidR="00A11036" w14:paraId="24BD8CFA" w14:textId="77777777" w:rsidTr="00BF0397">
        <w:tc>
          <w:tcPr>
            <w:tcW w:w="1728" w:type="dxa"/>
          </w:tcPr>
          <w:p w14:paraId="358BFDB5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14:paraId="5690DEC5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System Availability</w:t>
            </w:r>
          </w:p>
        </w:tc>
        <w:tc>
          <w:tcPr>
            <w:tcW w:w="1728" w:type="dxa"/>
          </w:tcPr>
          <w:p w14:paraId="0EBF197D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Availability of service via native interface.</w:t>
            </w:r>
          </w:p>
        </w:tc>
        <w:tc>
          <w:tcPr>
            <w:tcW w:w="1728" w:type="dxa"/>
          </w:tcPr>
          <w:p w14:paraId="544195CB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99.8% quarterly availability.</w:t>
            </w:r>
          </w:p>
        </w:tc>
        <w:tc>
          <w:tcPr>
            <w:tcW w:w="1728" w:type="dxa"/>
          </w:tcPr>
          <w:p w14:paraId="731C6E3A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3.6.4.1</w:t>
            </w:r>
          </w:p>
        </w:tc>
      </w:tr>
      <w:tr w:rsidR="00A11036" w14:paraId="482BC7F1" w14:textId="77777777" w:rsidTr="00BF0397">
        <w:tc>
          <w:tcPr>
            <w:tcW w:w="1728" w:type="dxa"/>
          </w:tcPr>
          <w:p w14:paraId="16D6077F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728" w:type="dxa"/>
          </w:tcPr>
          <w:p w14:paraId="2BEA6137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Scheduled Maintenance Notification</w:t>
            </w:r>
          </w:p>
        </w:tc>
        <w:tc>
          <w:tcPr>
            <w:tcW w:w="1728" w:type="dxa"/>
          </w:tcPr>
          <w:p w14:paraId="59A038CC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Advance notice for routine maintenance.</w:t>
            </w:r>
          </w:p>
        </w:tc>
        <w:tc>
          <w:tcPr>
            <w:tcW w:w="1728" w:type="dxa"/>
          </w:tcPr>
          <w:p w14:paraId="72AFBE53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5 working days’ notice.</w:t>
            </w:r>
          </w:p>
        </w:tc>
        <w:tc>
          <w:tcPr>
            <w:tcW w:w="1728" w:type="dxa"/>
          </w:tcPr>
          <w:p w14:paraId="5B257CA6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3.6.4.2</w:t>
            </w:r>
          </w:p>
        </w:tc>
      </w:tr>
      <w:tr w:rsidR="00A11036" w14:paraId="40427591" w14:textId="77777777" w:rsidTr="00BF0397">
        <w:tc>
          <w:tcPr>
            <w:tcW w:w="1728" w:type="dxa"/>
          </w:tcPr>
          <w:p w14:paraId="52A24802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728" w:type="dxa"/>
          </w:tcPr>
          <w:p w14:paraId="36B15E4D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Progress Reporting</w:t>
            </w:r>
          </w:p>
        </w:tc>
        <w:tc>
          <w:tcPr>
            <w:tcW w:w="1728" w:type="dxa"/>
          </w:tcPr>
          <w:p w14:paraId="4D7B8730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Daily communication until unresolved issues are resolved.</w:t>
            </w:r>
          </w:p>
        </w:tc>
        <w:tc>
          <w:tcPr>
            <w:tcW w:w="1728" w:type="dxa"/>
          </w:tcPr>
          <w:p w14:paraId="16FE26C3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Daily progress reports.</w:t>
            </w:r>
          </w:p>
        </w:tc>
        <w:tc>
          <w:tcPr>
            <w:tcW w:w="1728" w:type="dxa"/>
          </w:tcPr>
          <w:p w14:paraId="2F21D704" w14:textId="77777777" w:rsidR="00A11036" w:rsidRPr="00BF0397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0397">
              <w:rPr>
                <w:rFonts w:asciiTheme="majorHAnsi" w:hAnsiTheme="majorHAnsi" w:cstheme="majorHAnsi"/>
                <w:sz w:val="20"/>
                <w:szCs w:val="20"/>
              </w:rPr>
              <w:t>Section 3.6.3.3</w:t>
            </w:r>
          </w:p>
        </w:tc>
      </w:tr>
    </w:tbl>
    <w:p w14:paraId="50A50F98" w14:textId="77777777" w:rsidR="00790230" w:rsidRDefault="00790230"/>
    <w:sectPr w:rsidR="007902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279545">
    <w:abstractNumId w:val="8"/>
  </w:num>
  <w:num w:numId="2" w16cid:durableId="295188009">
    <w:abstractNumId w:val="6"/>
  </w:num>
  <w:num w:numId="3" w16cid:durableId="1992051490">
    <w:abstractNumId w:val="5"/>
  </w:num>
  <w:num w:numId="4" w16cid:durableId="997343785">
    <w:abstractNumId w:val="4"/>
  </w:num>
  <w:num w:numId="5" w16cid:durableId="833569276">
    <w:abstractNumId w:val="7"/>
  </w:num>
  <w:num w:numId="6" w16cid:durableId="804352966">
    <w:abstractNumId w:val="3"/>
  </w:num>
  <w:num w:numId="7" w16cid:durableId="227885658">
    <w:abstractNumId w:val="2"/>
  </w:num>
  <w:num w:numId="8" w16cid:durableId="138152136">
    <w:abstractNumId w:val="1"/>
  </w:num>
  <w:num w:numId="9" w16cid:durableId="48138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0230"/>
    <w:rsid w:val="009225AF"/>
    <w:rsid w:val="00A11036"/>
    <w:rsid w:val="00AA1D8D"/>
    <w:rsid w:val="00B47730"/>
    <w:rsid w:val="00BF03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08551"/>
  <w14:defaultImageDpi w14:val="300"/>
  <w15:docId w15:val="{83BFD2ED-C57B-43AF-837F-EA51D20B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972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Jones  (DHCW - Commercial Services)</cp:lastModifiedBy>
  <cp:revision>2</cp:revision>
  <dcterms:created xsi:type="dcterms:W3CDTF">2026-01-13T15:37:00Z</dcterms:created>
  <dcterms:modified xsi:type="dcterms:W3CDTF">2026-01-13T15:37:00Z</dcterms:modified>
  <cp:category/>
</cp:coreProperties>
</file>