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C556" w14:textId="77777777" w:rsidR="00E77D72" w:rsidRPr="0038363E" w:rsidRDefault="00E77D72" w:rsidP="00E77D72">
      <w:pPr>
        <w:tabs>
          <w:tab w:val="left" w:pos="720"/>
          <w:tab w:val="left" w:pos="900"/>
        </w:tabs>
        <w:jc w:val="both"/>
        <w:rPr>
          <w:rFonts w:ascii="Franklin Gothic Demi" w:hAnsi="Franklin Gothic Demi" w:cs="Calibri"/>
          <w:b/>
          <w:color w:val="184F90"/>
          <w:sz w:val="32"/>
          <w:szCs w:val="32"/>
          <w:u w:val="single"/>
        </w:rPr>
      </w:pPr>
      <w:r w:rsidRPr="0038363E">
        <w:rPr>
          <w:rFonts w:ascii="Franklin Gothic Demi" w:hAnsi="Franklin Gothic Demi" w:cs="Calibri"/>
          <w:b/>
          <w:color w:val="184F90"/>
          <w:sz w:val="32"/>
          <w:szCs w:val="32"/>
          <w:u w:val="single"/>
        </w:rPr>
        <w:t>Service Level Agreement</w:t>
      </w:r>
    </w:p>
    <w:p w14:paraId="317A38CE" w14:textId="77777777" w:rsidR="00E77D72" w:rsidRPr="006676EE" w:rsidRDefault="00E77D72" w:rsidP="00E77D72">
      <w:pPr>
        <w:tabs>
          <w:tab w:val="left" w:pos="720"/>
          <w:tab w:val="left" w:pos="900"/>
        </w:tabs>
        <w:jc w:val="both"/>
        <w:rPr>
          <w:rFonts w:ascii="Calibri" w:hAnsi="Calibri" w:cs="Calibri"/>
          <w:sz w:val="22"/>
          <w:szCs w:val="22"/>
        </w:rPr>
      </w:pPr>
    </w:p>
    <w:p w14:paraId="38E1F208" w14:textId="77777777" w:rsidR="00E77D72" w:rsidRPr="0038363E" w:rsidRDefault="00E77D72" w:rsidP="00E77D72">
      <w:pPr>
        <w:tabs>
          <w:tab w:val="left" w:pos="720"/>
          <w:tab w:val="left" w:pos="900"/>
        </w:tabs>
        <w:jc w:val="both"/>
        <w:rPr>
          <w:rFonts w:ascii="Calibri" w:hAnsi="Calibri" w:cs="Calibri"/>
          <w:szCs w:val="24"/>
        </w:rPr>
      </w:pPr>
      <w:r w:rsidRPr="0038363E">
        <w:rPr>
          <w:rFonts w:ascii="Calibri" w:hAnsi="Calibri" w:cs="Calibri"/>
          <w:szCs w:val="24"/>
        </w:rPr>
        <w:t xml:space="preserve">A number of measurable outputs of the operation of the Contract are to be defined as Key Performance Indicators (KPIs) and these are specified here.  They are designed to measure the ability of the Contractor to meet the requirements and expectations of the </w:t>
      </w:r>
      <w:r w:rsidR="00F80ACD" w:rsidRPr="0038363E">
        <w:rPr>
          <w:rFonts w:ascii="Calibri" w:hAnsi="Calibri" w:cs="Calibri"/>
          <w:szCs w:val="24"/>
        </w:rPr>
        <w:t>Client</w:t>
      </w:r>
      <w:r w:rsidRPr="0038363E">
        <w:rPr>
          <w:rFonts w:ascii="Calibri" w:hAnsi="Calibri" w:cs="Calibri"/>
          <w:szCs w:val="24"/>
        </w:rPr>
        <w:t xml:space="preserve"> in a quantifiable way.  </w:t>
      </w:r>
    </w:p>
    <w:p w14:paraId="4F0EE36A" w14:textId="77777777" w:rsidR="00E77D72" w:rsidRPr="0038363E" w:rsidRDefault="00E77D72" w:rsidP="00E77D72">
      <w:pPr>
        <w:tabs>
          <w:tab w:val="left" w:pos="720"/>
          <w:tab w:val="left" w:pos="900"/>
        </w:tabs>
        <w:jc w:val="both"/>
        <w:rPr>
          <w:rFonts w:ascii="Calibri" w:hAnsi="Calibri" w:cs="Calibri"/>
          <w:szCs w:val="24"/>
        </w:rPr>
      </w:pPr>
    </w:p>
    <w:p w14:paraId="0937306E" w14:textId="77777777" w:rsidR="00E77D72" w:rsidRPr="0038363E" w:rsidRDefault="00E77D72" w:rsidP="00E77D72">
      <w:pPr>
        <w:tabs>
          <w:tab w:val="left" w:pos="720"/>
          <w:tab w:val="left" w:pos="900"/>
        </w:tabs>
        <w:jc w:val="both"/>
        <w:rPr>
          <w:rFonts w:ascii="Calibri" w:hAnsi="Calibri" w:cs="Calibri"/>
          <w:szCs w:val="24"/>
        </w:rPr>
      </w:pPr>
      <w:r w:rsidRPr="0038363E">
        <w:rPr>
          <w:rFonts w:ascii="Calibri" w:hAnsi="Calibri" w:cs="Calibri"/>
          <w:szCs w:val="24"/>
        </w:rPr>
        <w:t>The initial KPIs and their associated thresholds are specified here.  The Contractor shall collate these measurements and report upon them on a monthly basis (“KPI reports”) and the Contractor shall, on a continuing basis, warrant the truth, accuracy and completeness of such reports.  No penalties will be incurred during the first 3 months of the Contract.</w:t>
      </w:r>
    </w:p>
    <w:p w14:paraId="2549940D" w14:textId="77777777" w:rsidR="00E77D72" w:rsidRPr="0038363E" w:rsidRDefault="00E77D72" w:rsidP="00E77D72">
      <w:pPr>
        <w:tabs>
          <w:tab w:val="left" w:pos="720"/>
          <w:tab w:val="left" w:pos="900"/>
        </w:tabs>
        <w:jc w:val="both"/>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4274"/>
        <w:gridCol w:w="1539"/>
        <w:gridCol w:w="1911"/>
      </w:tblGrid>
      <w:tr w:rsidR="00E77D72" w:rsidRPr="0038363E" w14:paraId="450315EA" w14:textId="77777777" w:rsidTr="0038363E">
        <w:tc>
          <w:tcPr>
            <w:tcW w:w="587" w:type="dxa"/>
            <w:shd w:val="clear" w:color="auto" w:fill="184F90"/>
          </w:tcPr>
          <w:p w14:paraId="12C17105" w14:textId="77777777" w:rsidR="00E77D72" w:rsidRPr="0038363E" w:rsidRDefault="00E77D72" w:rsidP="006676EE">
            <w:pPr>
              <w:tabs>
                <w:tab w:val="left" w:pos="720"/>
                <w:tab w:val="left" w:pos="900"/>
              </w:tabs>
              <w:jc w:val="both"/>
              <w:rPr>
                <w:rFonts w:ascii="Calibri" w:hAnsi="Calibri" w:cs="Calibri"/>
                <w:b/>
                <w:color w:val="FFFFFF" w:themeColor="background1"/>
                <w:szCs w:val="24"/>
              </w:rPr>
            </w:pPr>
          </w:p>
        </w:tc>
        <w:tc>
          <w:tcPr>
            <w:tcW w:w="4435" w:type="dxa"/>
            <w:shd w:val="clear" w:color="auto" w:fill="184F90"/>
          </w:tcPr>
          <w:p w14:paraId="22198C6F" w14:textId="77777777" w:rsidR="00E77D72" w:rsidRPr="0038363E" w:rsidRDefault="00E77D72" w:rsidP="006676EE">
            <w:pPr>
              <w:tabs>
                <w:tab w:val="left" w:pos="720"/>
                <w:tab w:val="left" w:pos="900"/>
              </w:tabs>
              <w:jc w:val="both"/>
              <w:rPr>
                <w:rFonts w:ascii="Calibri" w:hAnsi="Calibri" w:cs="Calibri"/>
                <w:b/>
                <w:color w:val="FFFFFF" w:themeColor="background1"/>
                <w:szCs w:val="24"/>
              </w:rPr>
            </w:pPr>
            <w:r w:rsidRPr="0038363E">
              <w:rPr>
                <w:rFonts w:ascii="Calibri" w:hAnsi="Calibri" w:cs="Calibri"/>
                <w:b/>
                <w:color w:val="FFFFFF" w:themeColor="background1"/>
                <w:szCs w:val="24"/>
              </w:rPr>
              <w:t>Output Measurements (KPIs)</w:t>
            </w:r>
          </w:p>
        </w:tc>
        <w:tc>
          <w:tcPr>
            <w:tcW w:w="1560" w:type="dxa"/>
            <w:shd w:val="clear" w:color="auto" w:fill="184F90"/>
          </w:tcPr>
          <w:p w14:paraId="492D39F8" w14:textId="77777777" w:rsidR="00E77D72" w:rsidRPr="0038363E" w:rsidRDefault="00E77D72" w:rsidP="006676EE">
            <w:pPr>
              <w:tabs>
                <w:tab w:val="left" w:pos="720"/>
                <w:tab w:val="left" w:pos="900"/>
              </w:tabs>
              <w:jc w:val="both"/>
              <w:rPr>
                <w:rFonts w:ascii="Calibri" w:hAnsi="Calibri" w:cs="Calibri"/>
                <w:b/>
                <w:color w:val="FFFFFF" w:themeColor="background1"/>
                <w:szCs w:val="24"/>
              </w:rPr>
            </w:pPr>
            <w:r w:rsidRPr="0038363E">
              <w:rPr>
                <w:rFonts w:ascii="Calibri" w:hAnsi="Calibri" w:cs="Calibri"/>
                <w:b/>
                <w:color w:val="FFFFFF" w:themeColor="background1"/>
                <w:szCs w:val="24"/>
              </w:rPr>
              <w:t>Reporting Period</w:t>
            </w:r>
          </w:p>
        </w:tc>
        <w:tc>
          <w:tcPr>
            <w:tcW w:w="1940" w:type="dxa"/>
            <w:shd w:val="clear" w:color="auto" w:fill="184F90"/>
          </w:tcPr>
          <w:p w14:paraId="6715A90C" w14:textId="77777777" w:rsidR="00E77D72" w:rsidRPr="0038363E" w:rsidRDefault="00E77D72" w:rsidP="006676EE">
            <w:pPr>
              <w:tabs>
                <w:tab w:val="left" w:pos="720"/>
                <w:tab w:val="left" w:pos="900"/>
              </w:tabs>
              <w:jc w:val="both"/>
              <w:rPr>
                <w:rFonts w:ascii="Calibri" w:hAnsi="Calibri" w:cs="Calibri"/>
                <w:b/>
                <w:color w:val="FFFFFF" w:themeColor="background1"/>
                <w:szCs w:val="24"/>
              </w:rPr>
            </w:pPr>
            <w:r w:rsidRPr="0038363E">
              <w:rPr>
                <w:rFonts w:ascii="Calibri" w:hAnsi="Calibri" w:cs="Calibri"/>
                <w:b/>
                <w:color w:val="FFFFFF" w:themeColor="background1"/>
                <w:szCs w:val="24"/>
              </w:rPr>
              <w:t>Threshold</w:t>
            </w:r>
          </w:p>
        </w:tc>
      </w:tr>
      <w:tr w:rsidR="00E77D72" w:rsidRPr="0038363E" w14:paraId="7E3026D6" w14:textId="77777777" w:rsidTr="006676EE">
        <w:tc>
          <w:tcPr>
            <w:tcW w:w="587" w:type="dxa"/>
            <w:shd w:val="clear" w:color="auto" w:fill="auto"/>
          </w:tcPr>
          <w:p w14:paraId="226C82B5"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1</w:t>
            </w:r>
          </w:p>
        </w:tc>
        <w:tc>
          <w:tcPr>
            <w:tcW w:w="4435" w:type="dxa"/>
            <w:shd w:val="clear" w:color="auto" w:fill="auto"/>
          </w:tcPr>
          <w:p w14:paraId="37DF2548"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Number of complaints logged in the complaints book by either the Supervising Officer or building occupants</w:t>
            </w:r>
          </w:p>
        </w:tc>
        <w:tc>
          <w:tcPr>
            <w:tcW w:w="1560" w:type="dxa"/>
            <w:shd w:val="clear" w:color="auto" w:fill="auto"/>
          </w:tcPr>
          <w:p w14:paraId="06A61898"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Monthly</w:t>
            </w:r>
          </w:p>
        </w:tc>
        <w:tc>
          <w:tcPr>
            <w:tcW w:w="1940" w:type="dxa"/>
            <w:shd w:val="clear" w:color="auto" w:fill="auto"/>
          </w:tcPr>
          <w:p w14:paraId="2D0A461A" w14:textId="77777777" w:rsidR="00E77D72" w:rsidRPr="0038363E" w:rsidRDefault="00E77D72" w:rsidP="006676EE">
            <w:pPr>
              <w:tabs>
                <w:tab w:val="left" w:pos="720"/>
                <w:tab w:val="left" w:pos="900"/>
              </w:tabs>
              <w:rPr>
                <w:rFonts w:ascii="Calibri" w:hAnsi="Calibri" w:cs="Calibri"/>
                <w:szCs w:val="24"/>
              </w:rPr>
            </w:pPr>
            <w:r w:rsidRPr="0038363E">
              <w:rPr>
                <w:rFonts w:ascii="Calibri" w:hAnsi="Calibri" w:cs="Calibri"/>
                <w:szCs w:val="24"/>
              </w:rPr>
              <w:t xml:space="preserve">Maximum 3 per month </w:t>
            </w:r>
          </w:p>
        </w:tc>
      </w:tr>
      <w:tr w:rsidR="00E77D72" w:rsidRPr="0038363E" w14:paraId="0F7B03A3" w14:textId="77777777" w:rsidTr="006676EE">
        <w:tc>
          <w:tcPr>
            <w:tcW w:w="587" w:type="dxa"/>
            <w:shd w:val="clear" w:color="auto" w:fill="auto"/>
          </w:tcPr>
          <w:p w14:paraId="184EE651"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2</w:t>
            </w:r>
          </w:p>
        </w:tc>
        <w:tc>
          <w:tcPr>
            <w:tcW w:w="4435" w:type="dxa"/>
            <w:shd w:val="clear" w:color="auto" w:fill="auto"/>
          </w:tcPr>
          <w:p w14:paraId="25E66D98"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Number of Performance Standards failures, anomalies or issues identified by the Facilities Department through the Quality Auditing procedures</w:t>
            </w:r>
          </w:p>
        </w:tc>
        <w:tc>
          <w:tcPr>
            <w:tcW w:w="1560" w:type="dxa"/>
            <w:shd w:val="clear" w:color="auto" w:fill="auto"/>
          </w:tcPr>
          <w:p w14:paraId="14073497"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Monthly</w:t>
            </w:r>
          </w:p>
        </w:tc>
        <w:tc>
          <w:tcPr>
            <w:tcW w:w="1940" w:type="dxa"/>
            <w:shd w:val="clear" w:color="auto" w:fill="auto"/>
          </w:tcPr>
          <w:p w14:paraId="73794C8F" w14:textId="77777777" w:rsidR="00E77D72" w:rsidRPr="0038363E" w:rsidRDefault="00E77D72" w:rsidP="006676EE">
            <w:pPr>
              <w:tabs>
                <w:tab w:val="left" w:pos="720"/>
                <w:tab w:val="left" w:pos="900"/>
              </w:tabs>
              <w:rPr>
                <w:rFonts w:ascii="Calibri" w:hAnsi="Calibri" w:cs="Calibri"/>
                <w:szCs w:val="24"/>
              </w:rPr>
            </w:pPr>
            <w:r w:rsidRPr="0038363E">
              <w:rPr>
                <w:rFonts w:ascii="Calibri" w:hAnsi="Calibri" w:cs="Calibri"/>
                <w:szCs w:val="24"/>
              </w:rPr>
              <w:t xml:space="preserve">Maximum 3 per month </w:t>
            </w:r>
          </w:p>
        </w:tc>
      </w:tr>
      <w:tr w:rsidR="00E77D72" w:rsidRPr="0038363E" w14:paraId="1D071609" w14:textId="77777777" w:rsidTr="006676EE">
        <w:tc>
          <w:tcPr>
            <w:tcW w:w="587" w:type="dxa"/>
            <w:shd w:val="clear" w:color="auto" w:fill="auto"/>
          </w:tcPr>
          <w:p w14:paraId="7D473716"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3</w:t>
            </w:r>
          </w:p>
        </w:tc>
        <w:tc>
          <w:tcPr>
            <w:tcW w:w="4435" w:type="dxa"/>
            <w:shd w:val="clear" w:color="auto" w:fill="auto"/>
          </w:tcPr>
          <w:p w14:paraId="30195402"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Full complement of staff available at all times</w:t>
            </w:r>
          </w:p>
        </w:tc>
        <w:tc>
          <w:tcPr>
            <w:tcW w:w="1560" w:type="dxa"/>
            <w:shd w:val="clear" w:color="auto" w:fill="auto"/>
          </w:tcPr>
          <w:p w14:paraId="56B8A4DF"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Monthly</w:t>
            </w:r>
          </w:p>
        </w:tc>
        <w:tc>
          <w:tcPr>
            <w:tcW w:w="1940" w:type="dxa"/>
            <w:shd w:val="clear" w:color="auto" w:fill="auto"/>
          </w:tcPr>
          <w:p w14:paraId="0499D82E" w14:textId="77777777" w:rsidR="00E77D72" w:rsidRPr="0038363E" w:rsidRDefault="00E77D72" w:rsidP="006676EE">
            <w:pPr>
              <w:tabs>
                <w:tab w:val="left" w:pos="720"/>
                <w:tab w:val="left" w:pos="900"/>
              </w:tabs>
              <w:rPr>
                <w:rFonts w:ascii="Calibri" w:hAnsi="Calibri" w:cs="Calibri"/>
                <w:szCs w:val="24"/>
              </w:rPr>
            </w:pPr>
            <w:r w:rsidRPr="0038363E">
              <w:rPr>
                <w:rFonts w:ascii="Calibri" w:hAnsi="Calibri" w:cs="Calibri"/>
                <w:szCs w:val="24"/>
              </w:rPr>
              <w:t>95% complement in attendance</w:t>
            </w:r>
          </w:p>
        </w:tc>
      </w:tr>
      <w:tr w:rsidR="00E77D72" w:rsidRPr="0038363E" w14:paraId="2C9753E3" w14:textId="77777777" w:rsidTr="006676EE">
        <w:tc>
          <w:tcPr>
            <w:tcW w:w="587" w:type="dxa"/>
            <w:shd w:val="clear" w:color="auto" w:fill="auto"/>
          </w:tcPr>
          <w:p w14:paraId="33E50906"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4</w:t>
            </w:r>
          </w:p>
        </w:tc>
        <w:tc>
          <w:tcPr>
            <w:tcW w:w="4435" w:type="dxa"/>
            <w:shd w:val="clear" w:color="auto" w:fill="auto"/>
          </w:tcPr>
          <w:p w14:paraId="7497F608"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Staff have undergone induction training to work on relevant site</w:t>
            </w:r>
          </w:p>
        </w:tc>
        <w:tc>
          <w:tcPr>
            <w:tcW w:w="1560" w:type="dxa"/>
            <w:shd w:val="clear" w:color="auto" w:fill="auto"/>
          </w:tcPr>
          <w:p w14:paraId="04C67C5B"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Monthly</w:t>
            </w:r>
          </w:p>
        </w:tc>
        <w:tc>
          <w:tcPr>
            <w:tcW w:w="1940" w:type="dxa"/>
            <w:shd w:val="clear" w:color="auto" w:fill="auto"/>
          </w:tcPr>
          <w:p w14:paraId="4D9D74D1" w14:textId="77777777" w:rsidR="00E77D72" w:rsidRPr="0038363E" w:rsidRDefault="00E77D72" w:rsidP="006676EE">
            <w:pPr>
              <w:tabs>
                <w:tab w:val="left" w:pos="720"/>
                <w:tab w:val="left" w:pos="900"/>
              </w:tabs>
              <w:rPr>
                <w:rFonts w:ascii="Calibri" w:hAnsi="Calibri" w:cs="Calibri"/>
                <w:szCs w:val="24"/>
              </w:rPr>
            </w:pPr>
            <w:r w:rsidRPr="0038363E">
              <w:rPr>
                <w:rFonts w:ascii="Calibri" w:hAnsi="Calibri" w:cs="Calibri"/>
                <w:szCs w:val="24"/>
              </w:rPr>
              <w:t>100% completion</w:t>
            </w:r>
          </w:p>
        </w:tc>
      </w:tr>
      <w:tr w:rsidR="00E77D72" w:rsidRPr="0038363E" w14:paraId="4D351D50" w14:textId="77777777" w:rsidTr="006676EE">
        <w:tc>
          <w:tcPr>
            <w:tcW w:w="587" w:type="dxa"/>
            <w:shd w:val="clear" w:color="auto" w:fill="auto"/>
          </w:tcPr>
          <w:p w14:paraId="4479FCC3"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5</w:t>
            </w:r>
          </w:p>
        </w:tc>
        <w:tc>
          <w:tcPr>
            <w:tcW w:w="4435" w:type="dxa"/>
            <w:shd w:val="clear" w:color="auto" w:fill="auto"/>
          </w:tcPr>
          <w:p w14:paraId="16E2A1C1"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Staff have undergone training in the H&amp;S aspects of their job</w:t>
            </w:r>
          </w:p>
        </w:tc>
        <w:tc>
          <w:tcPr>
            <w:tcW w:w="1560" w:type="dxa"/>
            <w:shd w:val="clear" w:color="auto" w:fill="auto"/>
          </w:tcPr>
          <w:p w14:paraId="0F642595"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Monthly</w:t>
            </w:r>
          </w:p>
        </w:tc>
        <w:tc>
          <w:tcPr>
            <w:tcW w:w="1940" w:type="dxa"/>
            <w:shd w:val="clear" w:color="auto" w:fill="auto"/>
          </w:tcPr>
          <w:p w14:paraId="10028F03" w14:textId="77777777" w:rsidR="00E77D72" w:rsidRPr="0038363E" w:rsidRDefault="00E77D72" w:rsidP="006676EE">
            <w:pPr>
              <w:tabs>
                <w:tab w:val="left" w:pos="720"/>
                <w:tab w:val="left" w:pos="900"/>
              </w:tabs>
              <w:rPr>
                <w:rFonts w:ascii="Calibri" w:hAnsi="Calibri" w:cs="Calibri"/>
                <w:szCs w:val="24"/>
              </w:rPr>
            </w:pPr>
            <w:r w:rsidRPr="0038363E">
              <w:rPr>
                <w:rFonts w:ascii="Calibri" w:hAnsi="Calibri" w:cs="Calibri"/>
                <w:szCs w:val="24"/>
              </w:rPr>
              <w:t>100% completion</w:t>
            </w:r>
          </w:p>
        </w:tc>
      </w:tr>
      <w:tr w:rsidR="00E77D72" w:rsidRPr="0038363E" w14:paraId="2BD22D91" w14:textId="77777777" w:rsidTr="006676EE">
        <w:tc>
          <w:tcPr>
            <w:tcW w:w="587" w:type="dxa"/>
            <w:shd w:val="clear" w:color="auto" w:fill="auto"/>
          </w:tcPr>
          <w:p w14:paraId="09B25AE3"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6</w:t>
            </w:r>
          </w:p>
        </w:tc>
        <w:tc>
          <w:tcPr>
            <w:tcW w:w="4435" w:type="dxa"/>
            <w:shd w:val="clear" w:color="auto" w:fill="auto"/>
          </w:tcPr>
          <w:p w14:paraId="1A555B42"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All site specific Risk &amp; Method Statements in place for all activities</w:t>
            </w:r>
          </w:p>
        </w:tc>
        <w:tc>
          <w:tcPr>
            <w:tcW w:w="1560" w:type="dxa"/>
            <w:shd w:val="clear" w:color="auto" w:fill="auto"/>
          </w:tcPr>
          <w:p w14:paraId="579AAD92"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Start of contract then 6 monthly</w:t>
            </w:r>
          </w:p>
        </w:tc>
        <w:tc>
          <w:tcPr>
            <w:tcW w:w="1940" w:type="dxa"/>
            <w:shd w:val="clear" w:color="auto" w:fill="auto"/>
          </w:tcPr>
          <w:p w14:paraId="64019586" w14:textId="77777777" w:rsidR="00E77D72" w:rsidRPr="0038363E" w:rsidRDefault="00E77D72" w:rsidP="006676EE">
            <w:pPr>
              <w:tabs>
                <w:tab w:val="left" w:pos="720"/>
                <w:tab w:val="left" w:pos="900"/>
              </w:tabs>
              <w:rPr>
                <w:rFonts w:ascii="Calibri" w:hAnsi="Calibri" w:cs="Calibri"/>
                <w:szCs w:val="24"/>
              </w:rPr>
            </w:pPr>
            <w:r w:rsidRPr="0038363E">
              <w:rPr>
                <w:rFonts w:ascii="Calibri" w:hAnsi="Calibri" w:cs="Calibri"/>
                <w:szCs w:val="24"/>
              </w:rPr>
              <w:t>100% completion.  All method statements available and shared with all staff</w:t>
            </w:r>
          </w:p>
        </w:tc>
      </w:tr>
      <w:tr w:rsidR="00E77D72" w:rsidRPr="0038363E" w14:paraId="6BCECC9D" w14:textId="77777777" w:rsidTr="006676EE">
        <w:tc>
          <w:tcPr>
            <w:tcW w:w="587" w:type="dxa"/>
            <w:shd w:val="clear" w:color="auto" w:fill="auto"/>
          </w:tcPr>
          <w:p w14:paraId="392ADF21"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7</w:t>
            </w:r>
          </w:p>
        </w:tc>
        <w:tc>
          <w:tcPr>
            <w:tcW w:w="4435" w:type="dxa"/>
            <w:shd w:val="clear" w:color="auto" w:fill="auto"/>
          </w:tcPr>
          <w:p w14:paraId="3CBECB75"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All Contractor equipment and chemicals to be stored in line with H&amp;S legislation</w:t>
            </w:r>
          </w:p>
        </w:tc>
        <w:tc>
          <w:tcPr>
            <w:tcW w:w="1560" w:type="dxa"/>
            <w:shd w:val="clear" w:color="auto" w:fill="auto"/>
          </w:tcPr>
          <w:p w14:paraId="7E901281"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Start of contract then 6 monthly</w:t>
            </w:r>
          </w:p>
        </w:tc>
        <w:tc>
          <w:tcPr>
            <w:tcW w:w="1940" w:type="dxa"/>
            <w:shd w:val="clear" w:color="auto" w:fill="auto"/>
          </w:tcPr>
          <w:p w14:paraId="7822D83E" w14:textId="77777777" w:rsidR="00E77D72" w:rsidRPr="0038363E" w:rsidRDefault="00E77D72" w:rsidP="006676EE">
            <w:pPr>
              <w:tabs>
                <w:tab w:val="left" w:pos="720"/>
                <w:tab w:val="left" w:pos="900"/>
              </w:tabs>
              <w:rPr>
                <w:rFonts w:ascii="Calibri" w:hAnsi="Calibri" w:cs="Calibri"/>
                <w:szCs w:val="24"/>
              </w:rPr>
            </w:pPr>
            <w:r w:rsidRPr="0038363E">
              <w:rPr>
                <w:rFonts w:ascii="Calibri" w:hAnsi="Calibri" w:cs="Calibri"/>
                <w:szCs w:val="24"/>
              </w:rPr>
              <w:t>100% completion</w:t>
            </w:r>
          </w:p>
        </w:tc>
      </w:tr>
      <w:tr w:rsidR="00E77D72" w:rsidRPr="0038363E" w14:paraId="6420E450" w14:textId="77777777" w:rsidTr="006676EE">
        <w:tc>
          <w:tcPr>
            <w:tcW w:w="587" w:type="dxa"/>
            <w:shd w:val="clear" w:color="auto" w:fill="auto"/>
          </w:tcPr>
          <w:p w14:paraId="778C9A3E"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8</w:t>
            </w:r>
          </w:p>
        </w:tc>
        <w:tc>
          <w:tcPr>
            <w:tcW w:w="4435" w:type="dxa"/>
            <w:shd w:val="clear" w:color="auto" w:fill="auto"/>
          </w:tcPr>
          <w:p w14:paraId="68063C6D"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Submission of KPI reports on a monthly basis containing complete and accurate KPI data</w:t>
            </w:r>
          </w:p>
        </w:tc>
        <w:tc>
          <w:tcPr>
            <w:tcW w:w="1560" w:type="dxa"/>
            <w:shd w:val="clear" w:color="auto" w:fill="auto"/>
          </w:tcPr>
          <w:p w14:paraId="5248FDD5"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Monthly</w:t>
            </w:r>
          </w:p>
        </w:tc>
        <w:tc>
          <w:tcPr>
            <w:tcW w:w="1940" w:type="dxa"/>
            <w:shd w:val="clear" w:color="auto" w:fill="auto"/>
          </w:tcPr>
          <w:p w14:paraId="553EC538" w14:textId="77777777" w:rsidR="00E77D72" w:rsidRPr="0038363E" w:rsidRDefault="00E77D72" w:rsidP="006676EE">
            <w:pPr>
              <w:tabs>
                <w:tab w:val="left" w:pos="720"/>
                <w:tab w:val="left" w:pos="900"/>
              </w:tabs>
              <w:jc w:val="both"/>
              <w:rPr>
                <w:rFonts w:ascii="Calibri" w:hAnsi="Calibri" w:cs="Calibri"/>
                <w:szCs w:val="24"/>
              </w:rPr>
            </w:pPr>
            <w:r w:rsidRPr="0038363E">
              <w:rPr>
                <w:rFonts w:ascii="Calibri" w:hAnsi="Calibri" w:cs="Calibri"/>
                <w:szCs w:val="24"/>
              </w:rPr>
              <w:t>100%</w:t>
            </w:r>
          </w:p>
        </w:tc>
      </w:tr>
    </w:tbl>
    <w:p w14:paraId="5CE3AB46" w14:textId="77777777" w:rsidR="00E77D72" w:rsidRPr="0038363E" w:rsidRDefault="00E77D72" w:rsidP="00E77D72">
      <w:pPr>
        <w:tabs>
          <w:tab w:val="left" w:pos="720"/>
          <w:tab w:val="left" w:pos="900"/>
        </w:tabs>
        <w:jc w:val="both"/>
        <w:rPr>
          <w:rFonts w:ascii="Calibri" w:hAnsi="Calibri" w:cs="Calibri"/>
          <w:szCs w:val="24"/>
        </w:rPr>
      </w:pPr>
    </w:p>
    <w:p w14:paraId="252E90F2" w14:textId="77777777" w:rsidR="00E77D72" w:rsidRPr="0038363E" w:rsidRDefault="00E77D72" w:rsidP="00E77D72">
      <w:pPr>
        <w:tabs>
          <w:tab w:val="left" w:pos="720"/>
          <w:tab w:val="left" w:pos="900"/>
        </w:tabs>
        <w:jc w:val="both"/>
        <w:rPr>
          <w:rFonts w:ascii="Calibri" w:hAnsi="Calibri" w:cs="Calibri"/>
          <w:szCs w:val="24"/>
        </w:rPr>
      </w:pPr>
      <w:r w:rsidRPr="0038363E">
        <w:rPr>
          <w:rFonts w:ascii="Calibri" w:hAnsi="Calibri" w:cs="Calibri"/>
          <w:szCs w:val="24"/>
        </w:rPr>
        <w:t>When KPI data has been collated for a period of 3 months, the parties will consider the data with a view to agreeing the appropriateness and reliability of the initial KPIs and thresholds.  Opportunity will be given to the Contractor to propose improvements.  The Poor Performance Penalty process will be implemented at that time.</w:t>
      </w:r>
    </w:p>
    <w:p w14:paraId="067B58B4" w14:textId="77777777" w:rsidR="00E77D72" w:rsidRPr="0038363E" w:rsidRDefault="00E77D72" w:rsidP="00E77D72">
      <w:pPr>
        <w:tabs>
          <w:tab w:val="left" w:pos="720"/>
          <w:tab w:val="left" w:pos="900"/>
        </w:tabs>
        <w:jc w:val="both"/>
        <w:rPr>
          <w:rFonts w:ascii="Calibri" w:hAnsi="Calibri" w:cs="Calibri"/>
          <w:szCs w:val="24"/>
        </w:rPr>
      </w:pPr>
    </w:p>
    <w:p w14:paraId="45069B20" w14:textId="77777777" w:rsidR="00E77D72" w:rsidRPr="0038363E" w:rsidRDefault="00E77D72" w:rsidP="00E77D72">
      <w:pPr>
        <w:tabs>
          <w:tab w:val="left" w:pos="720"/>
          <w:tab w:val="left" w:pos="900"/>
        </w:tabs>
        <w:jc w:val="both"/>
        <w:rPr>
          <w:rFonts w:ascii="Calibri" w:hAnsi="Calibri" w:cs="Calibri"/>
          <w:szCs w:val="24"/>
        </w:rPr>
      </w:pPr>
      <w:r w:rsidRPr="0038363E">
        <w:rPr>
          <w:rFonts w:ascii="Calibri" w:hAnsi="Calibri" w:cs="Calibri"/>
          <w:szCs w:val="24"/>
        </w:rPr>
        <w:t>At any time during the Contract the number and type of KPIs may be varied, together with the associated thresholds, by mutual agreement.</w:t>
      </w:r>
    </w:p>
    <w:p w14:paraId="2979FB22" w14:textId="77777777" w:rsidR="00E77D72" w:rsidRPr="0038363E" w:rsidRDefault="00E77D72" w:rsidP="00E77D72">
      <w:pPr>
        <w:tabs>
          <w:tab w:val="left" w:pos="720"/>
          <w:tab w:val="left" w:pos="900"/>
        </w:tabs>
        <w:jc w:val="both"/>
        <w:rPr>
          <w:rFonts w:ascii="Calibri" w:hAnsi="Calibri" w:cs="Calibri"/>
          <w:szCs w:val="24"/>
        </w:rPr>
      </w:pPr>
    </w:p>
    <w:p w14:paraId="47A41F64" w14:textId="77777777" w:rsidR="00E77D72" w:rsidRPr="0038363E" w:rsidRDefault="00E77D72" w:rsidP="00E77D72">
      <w:pPr>
        <w:tabs>
          <w:tab w:val="left" w:pos="720"/>
          <w:tab w:val="left" w:pos="900"/>
        </w:tabs>
        <w:jc w:val="both"/>
        <w:rPr>
          <w:rFonts w:ascii="Calibri" w:hAnsi="Calibri" w:cs="Calibri"/>
          <w:szCs w:val="24"/>
        </w:rPr>
      </w:pPr>
      <w:r w:rsidRPr="0038363E">
        <w:rPr>
          <w:rFonts w:ascii="Calibri" w:hAnsi="Calibri" w:cs="Calibri"/>
          <w:szCs w:val="24"/>
        </w:rPr>
        <w:t>In the event of a failure to agree ongoing KPIs and thresholds at any time the KPI arrangement already in existence will remain in place.</w:t>
      </w:r>
    </w:p>
    <w:p w14:paraId="7E552993" w14:textId="77777777" w:rsidR="00E77D72" w:rsidRPr="0038363E" w:rsidRDefault="00E77D72" w:rsidP="00E77D72">
      <w:pPr>
        <w:tabs>
          <w:tab w:val="left" w:pos="720"/>
          <w:tab w:val="left" w:pos="900"/>
        </w:tabs>
        <w:jc w:val="both"/>
        <w:rPr>
          <w:rFonts w:ascii="Calibri" w:hAnsi="Calibri" w:cs="Calibri"/>
          <w:b/>
          <w:szCs w:val="24"/>
        </w:rPr>
      </w:pPr>
    </w:p>
    <w:p w14:paraId="2428DBF9" w14:textId="77777777" w:rsidR="00F80ACD" w:rsidRPr="0038363E" w:rsidRDefault="00F80ACD" w:rsidP="00E77D72">
      <w:pPr>
        <w:tabs>
          <w:tab w:val="left" w:pos="720"/>
          <w:tab w:val="left" w:pos="900"/>
        </w:tabs>
        <w:jc w:val="both"/>
        <w:rPr>
          <w:rFonts w:ascii="Calibri" w:hAnsi="Calibri" w:cs="Calibri"/>
          <w:b/>
          <w:szCs w:val="24"/>
        </w:rPr>
      </w:pPr>
    </w:p>
    <w:p w14:paraId="4E8BA4C4" w14:textId="77777777" w:rsidR="00E77D72" w:rsidRPr="00C54E1E" w:rsidRDefault="00E77D72" w:rsidP="00E77D72">
      <w:pPr>
        <w:tabs>
          <w:tab w:val="left" w:pos="720"/>
          <w:tab w:val="left" w:pos="900"/>
        </w:tabs>
        <w:jc w:val="both"/>
        <w:rPr>
          <w:rFonts w:ascii="Franklin Gothic Medium" w:hAnsi="Franklin Gothic Medium" w:cs="Calibri"/>
          <w:bCs/>
          <w:color w:val="184F90"/>
          <w:sz w:val="28"/>
          <w:szCs w:val="28"/>
        </w:rPr>
      </w:pPr>
      <w:r w:rsidRPr="00C54E1E">
        <w:rPr>
          <w:rFonts w:ascii="Franklin Gothic Medium" w:hAnsi="Franklin Gothic Medium" w:cs="Calibri"/>
          <w:bCs/>
          <w:color w:val="184F90"/>
          <w:sz w:val="28"/>
          <w:szCs w:val="28"/>
        </w:rPr>
        <w:t>Poor Performance Penalties</w:t>
      </w:r>
    </w:p>
    <w:p w14:paraId="5E3CCDB7" w14:textId="77777777" w:rsidR="00837717" w:rsidRDefault="00837717" w:rsidP="00E77D72">
      <w:pPr>
        <w:tabs>
          <w:tab w:val="left" w:pos="0"/>
          <w:tab w:val="left" w:pos="4320"/>
          <w:tab w:val="right" w:pos="4812"/>
        </w:tabs>
        <w:jc w:val="both"/>
        <w:rPr>
          <w:rFonts w:ascii="Calibri" w:hAnsi="Calibri" w:cs="Calibri"/>
          <w:szCs w:val="24"/>
        </w:rPr>
      </w:pPr>
    </w:p>
    <w:p w14:paraId="5DACCF81" w14:textId="66164987" w:rsidR="00E77D72" w:rsidRPr="00C54E1E" w:rsidRDefault="00837717" w:rsidP="00E77D72">
      <w:pPr>
        <w:tabs>
          <w:tab w:val="left" w:pos="0"/>
          <w:tab w:val="left" w:pos="4320"/>
          <w:tab w:val="right" w:pos="4812"/>
        </w:tabs>
        <w:jc w:val="both"/>
        <w:rPr>
          <w:rFonts w:ascii="Calibri" w:hAnsi="Calibri" w:cs="Calibri"/>
          <w:szCs w:val="24"/>
        </w:rPr>
      </w:pPr>
      <w:r>
        <w:rPr>
          <w:rFonts w:ascii="Calibri" w:hAnsi="Calibri" w:cs="Calibri"/>
          <w:szCs w:val="24"/>
        </w:rPr>
        <w:t>T</w:t>
      </w:r>
      <w:r w:rsidR="00E77D72" w:rsidRPr="00C54E1E">
        <w:rPr>
          <w:rFonts w:ascii="Calibri" w:hAnsi="Calibri" w:cs="Calibri"/>
          <w:szCs w:val="24"/>
        </w:rPr>
        <w:t xml:space="preserve">he Contractors performance will be assessed each month by reference to the achievement of the KPI thresholds.  If the Contractor fails to meet the KPI thresholds in any one month it shall be deemed to be in Default of the Contract and the </w:t>
      </w:r>
      <w:r w:rsidR="00F80ACD" w:rsidRPr="00C54E1E">
        <w:rPr>
          <w:rFonts w:ascii="Calibri" w:hAnsi="Calibri" w:cs="Calibri"/>
          <w:szCs w:val="24"/>
        </w:rPr>
        <w:t>Client</w:t>
      </w:r>
      <w:r w:rsidR="00E77D72" w:rsidRPr="00C54E1E">
        <w:rPr>
          <w:rFonts w:ascii="Calibri" w:hAnsi="Calibri" w:cs="Calibri"/>
          <w:szCs w:val="24"/>
        </w:rPr>
        <w:t xml:space="preserve"> may invoke any of the provisions set out in </w:t>
      </w:r>
      <w:r w:rsidR="00E77D72" w:rsidRPr="00C54E1E">
        <w:rPr>
          <w:rFonts w:ascii="Calibri" w:hAnsi="Calibri" w:cs="Calibri"/>
          <w:b/>
          <w:szCs w:val="24"/>
        </w:rPr>
        <w:t xml:space="preserve">Clause </w:t>
      </w:r>
      <w:r w:rsidR="00C54E1E" w:rsidRPr="00C54E1E">
        <w:rPr>
          <w:rFonts w:ascii="Calibri" w:hAnsi="Calibri" w:cs="Calibri"/>
          <w:b/>
          <w:szCs w:val="24"/>
        </w:rPr>
        <w:t>2</w:t>
      </w:r>
      <w:r>
        <w:rPr>
          <w:rFonts w:ascii="Calibri" w:hAnsi="Calibri" w:cs="Calibri"/>
          <w:b/>
          <w:szCs w:val="24"/>
        </w:rPr>
        <w:t>.48</w:t>
      </w:r>
      <w:r w:rsidR="00924620" w:rsidRPr="00C54E1E">
        <w:rPr>
          <w:rFonts w:ascii="Calibri" w:hAnsi="Calibri" w:cs="Calibri"/>
          <w:b/>
          <w:szCs w:val="24"/>
        </w:rPr>
        <w:t>.</w:t>
      </w:r>
    </w:p>
    <w:p w14:paraId="49A16287" w14:textId="77777777" w:rsidR="00E77D72" w:rsidRPr="00C54E1E" w:rsidRDefault="00E77D72" w:rsidP="00E77D72">
      <w:pPr>
        <w:tabs>
          <w:tab w:val="left" w:pos="720"/>
          <w:tab w:val="left" w:pos="900"/>
        </w:tabs>
        <w:jc w:val="both"/>
        <w:rPr>
          <w:rFonts w:ascii="Calibri" w:hAnsi="Calibri" w:cs="Calibri"/>
          <w:szCs w:val="24"/>
        </w:rPr>
      </w:pPr>
    </w:p>
    <w:p w14:paraId="4F4DA6A4" w14:textId="77777777" w:rsidR="00E77D72" w:rsidRPr="0038363E" w:rsidRDefault="00E77D72" w:rsidP="00E77D72">
      <w:pPr>
        <w:tabs>
          <w:tab w:val="left" w:pos="720"/>
          <w:tab w:val="left" w:pos="900"/>
        </w:tabs>
        <w:jc w:val="both"/>
        <w:rPr>
          <w:rFonts w:ascii="Calibri" w:hAnsi="Calibri" w:cs="Calibri"/>
          <w:szCs w:val="24"/>
        </w:rPr>
      </w:pPr>
      <w:r w:rsidRPr="00C54E1E">
        <w:rPr>
          <w:rFonts w:ascii="Calibri" w:hAnsi="Calibri" w:cs="Calibri"/>
          <w:szCs w:val="24"/>
        </w:rPr>
        <w:t>Material or persistent breaches of these KPI thresholds may result in termination of the Contract without compensation to the Contractor</w:t>
      </w:r>
      <w:r w:rsidR="00924620" w:rsidRPr="00C54E1E">
        <w:rPr>
          <w:rFonts w:ascii="Calibri" w:hAnsi="Calibri" w:cs="Calibri"/>
          <w:szCs w:val="24"/>
        </w:rPr>
        <w:t>.</w:t>
      </w:r>
    </w:p>
    <w:p w14:paraId="70FEB3FF" w14:textId="77777777" w:rsidR="00E77D72" w:rsidRPr="0038363E" w:rsidRDefault="00E77D72" w:rsidP="00E77D72">
      <w:pPr>
        <w:tabs>
          <w:tab w:val="left" w:pos="720"/>
          <w:tab w:val="left" w:pos="900"/>
        </w:tabs>
        <w:jc w:val="both"/>
        <w:rPr>
          <w:rFonts w:ascii="Calibri" w:hAnsi="Calibri" w:cs="Calibri"/>
          <w:szCs w:val="24"/>
        </w:rPr>
      </w:pPr>
    </w:p>
    <w:p w14:paraId="764C3658" w14:textId="77777777" w:rsidR="00E77D72" w:rsidRPr="0038363E" w:rsidRDefault="00E77D72" w:rsidP="00E77D72">
      <w:pPr>
        <w:tabs>
          <w:tab w:val="left" w:pos="720"/>
          <w:tab w:val="left" w:pos="900"/>
        </w:tabs>
        <w:jc w:val="both"/>
        <w:rPr>
          <w:rFonts w:ascii="Franklin Gothic Medium" w:hAnsi="Franklin Gothic Medium" w:cs="Calibri"/>
          <w:bCs/>
          <w:color w:val="184F90"/>
          <w:sz w:val="28"/>
          <w:szCs w:val="28"/>
        </w:rPr>
      </w:pPr>
      <w:r w:rsidRPr="0038363E">
        <w:rPr>
          <w:rFonts w:ascii="Franklin Gothic Medium" w:hAnsi="Franklin Gothic Medium" w:cs="Calibri"/>
          <w:bCs/>
          <w:color w:val="184F90"/>
          <w:sz w:val="28"/>
          <w:szCs w:val="28"/>
        </w:rPr>
        <w:t>Monitoring &amp; Reporting</w:t>
      </w:r>
    </w:p>
    <w:p w14:paraId="64CDBFC8" w14:textId="77777777" w:rsidR="00E77D72" w:rsidRPr="0038363E" w:rsidRDefault="00E77D72" w:rsidP="00E77D72">
      <w:pPr>
        <w:tabs>
          <w:tab w:val="left" w:pos="720"/>
          <w:tab w:val="left" w:pos="900"/>
        </w:tabs>
        <w:jc w:val="both"/>
        <w:rPr>
          <w:rFonts w:ascii="Calibri" w:hAnsi="Calibri" w:cs="Calibri"/>
          <w:szCs w:val="24"/>
        </w:rPr>
      </w:pPr>
    </w:p>
    <w:p w14:paraId="44435890" w14:textId="77777777" w:rsidR="00E77D72" w:rsidRPr="0038363E" w:rsidRDefault="00E77D72" w:rsidP="00E77D72">
      <w:pPr>
        <w:tabs>
          <w:tab w:val="left" w:pos="720"/>
          <w:tab w:val="left" w:pos="900"/>
        </w:tabs>
        <w:jc w:val="both"/>
        <w:rPr>
          <w:rFonts w:ascii="Calibri" w:hAnsi="Calibri" w:cs="Calibri"/>
          <w:szCs w:val="24"/>
        </w:rPr>
      </w:pPr>
      <w:r w:rsidRPr="0038363E">
        <w:rPr>
          <w:rFonts w:ascii="Calibri" w:hAnsi="Calibri" w:cs="Calibri"/>
          <w:szCs w:val="24"/>
        </w:rPr>
        <w:t>A structure of monitoring, reporting and auditing, as detailed below, shall be established by the Contractor with immediate effect at Contract start.  The Contractor shall carry out a monthly quality visit to monitor standards and to collate the Building Representative survey data, where appropriate.</w:t>
      </w:r>
    </w:p>
    <w:p w14:paraId="66A95E48" w14:textId="77777777" w:rsidR="00E77D72" w:rsidRPr="0038363E" w:rsidRDefault="00E77D72" w:rsidP="00E77D72">
      <w:pPr>
        <w:tabs>
          <w:tab w:val="left" w:pos="720"/>
          <w:tab w:val="left" w:pos="900"/>
        </w:tabs>
        <w:jc w:val="both"/>
        <w:rPr>
          <w:rFonts w:ascii="Calibri" w:hAnsi="Calibri" w:cs="Calibri"/>
          <w:szCs w:val="24"/>
        </w:rPr>
      </w:pPr>
    </w:p>
    <w:p w14:paraId="0A92E56C" w14:textId="77777777" w:rsidR="00E77D72" w:rsidRPr="0038363E" w:rsidRDefault="00E77D72" w:rsidP="00E77D72">
      <w:pPr>
        <w:tabs>
          <w:tab w:val="left" w:pos="720"/>
          <w:tab w:val="left" w:pos="900"/>
        </w:tabs>
        <w:jc w:val="both"/>
        <w:rPr>
          <w:rFonts w:ascii="Calibri" w:hAnsi="Calibri" w:cs="Calibri"/>
          <w:szCs w:val="24"/>
        </w:rPr>
      </w:pPr>
      <w:r w:rsidRPr="0038363E">
        <w:rPr>
          <w:rFonts w:ascii="Calibri" w:hAnsi="Calibri" w:cs="Calibri"/>
          <w:szCs w:val="24"/>
        </w:rPr>
        <w:t xml:space="preserve">The following reports shall be collated and reported to the </w:t>
      </w:r>
      <w:r w:rsidR="00F80ACD" w:rsidRPr="0038363E">
        <w:rPr>
          <w:rFonts w:ascii="Calibri" w:hAnsi="Calibri" w:cs="Calibri"/>
          <w:szCs w:val="24"/>
        </w:rPr>
        <w:t>Client</w:t>
      </w:r>
      <w:r w:rsidRPr="0038363E">
        <w:rPr>
          <w:rFonts w:ascii="Calibri" w:hAnsi="Calibri" w:cs="Calibri"/>
          <w:szCs w:val="24"/>
        </w:rPr>
        <w:t xml:space="preserve"> as follows:</w:t>
      </w:r>
    </w:p>
    <w:p w14:paraId="40781DFA" w14:textId="77777777" w:rsidR="00E77D72" w:rsidRPr="0038363E" w:rsidRDefault="00E77D72" w:rsidP="00E77D72">
      <w:pPr>
        <w:tabs>
          <w:tab w:val="left" w:pos="720"/>
          <w:tab w:val="left" w:pos="900"/>
        </w:tabs>
        <w:jc w:val="both"/>
        <w:rPr>
          <w:rFonts w:ascii="Calibri" w:hAnsi="Calibri" w:cs="Calibri"/>
          <w:szCs w:val="24"/>
        </w:rPr>
      </w:pPr>
    </w:p>
    <w:p w14:paraId="5B22CD12" w14:textId="77777777" w:rsidR="00E77D72" w:rsidRPr="00F66643" w:rsidRDefault="00E77D72" w:rsidP="00E77D72">
      <w:pPr>
        <w:tabs>
          <w:tab w:val="left" w:pos="720"/>
          <w:tab w:val="left" w:pos="900"/>
        </w:tabs>
        <w:jc w:val="both"/>
        <w:rPr>
          <w:rFonts w:ascii="Calibri" w:hAnsi="Calibri" w:cs="Calibri"/>
          <w:szCs w:val="24"/>
          <w:u w:val="single"/>
        </w:rPr>
      </w:pPr>
      <w:r w:rsidRPr="00F66643">
        <w:rPr>
          <w:rFonts w:ascii="Calibri" w:hAnsi="Calibri" w:cs="Calibri"/>
          <w:szCs w:val="24"/>
          <w:u w:val="single"/>
        </w:rPr>
        <w:t>Monthly reports which shall include:</w:t>
      </w:r>
    </w:p>
    <w:p w14:paraId="61220FCB" w14:textId="77777777" w:rsidR="00E77D72" w:rsidRPr="00F66643" w:rsidRDefault="00E77D72" w:rsidP="00E77D72">
      <w:pPr>
        <w:numPr>
          <w:ilvl w:val="0"/>
          <w:numId w:val="1"/>
        </w:numPr>
        <w:tabs>
          <w:tab w:val="left" w:pos="720"/>
          <w:tab w:val="left" w:pos="900"/>
        </w:tabs>
        <w:jc w:val="both"/>
        <w:rPr>
          <w:rFonts w:ascii="Calibri" w:hAnsi="Calibri" w:cs="Calibri"/>
          <w:szCs w:val="24"/>
        </w:rPr>
      </w:pPr>
      <w:r w:rsidRPr="00F66643">
        <w:rPr>
          <w:rFonts w:ascii="Calibri" w:hAnsi="Calibri" w:cs="Calibri"/>
          <w:szCs w:val="24"/>
        </w:rPr>
        <w:t>The percentage of the planned Cleaning Schedule completed successfully.</w:t>
      </w:r>
    </w:p>
    <w:p w14:paraId="72C4B9EE" w14:textId="77777777" w:rsidR="00E77D72" w:rsidRPr="00F66643" w:rsidRDefault="00E77D72" w:rsidP="00E77D72">
      <w:pPr>
        <w:numPr>
          <w:ilvl w:val="0"/>
          <w:numId w:val="1"/>
        </w:numPr>
        <w:tabs>
          <w:tab w:val="left" w:pos="720"/>
          <w:tab w:val="left" w:pos="900"/>
        </w:tabs>
        <w:jc w:val="both"/>
        <w:rPr>
          <w:rFonts w:ascii="Calibri" w:hAnsi="Calibri" w:cs="Calibri"/>
          <w:szCs w:val="24"/>
        </w:rPr>
      </w:pPr>
      <w:r w:rsidRPr="00F66643">
        <w:rPr>
          <w:rFonts w:ascii="Calibri" w:hAnsi="Calibri" w:cs="Calibri"/>
          <w:szCs w:val="24"/>
        </w:rPr>
        <w:t>Details of where the Cleaning Schedule has not been met (indicating any issues).</w:t>
      </w:r>
    </w:p>
    <w:p w14:paraId="001DE1D7" w14:textId="77777777" w:rsidR="00E77D72" w:rsidRPr="00F66643" w:rsidRDefault="00E77D72" w:rsidP="00E77D72">
      <w:pPr>
        <w:numPr>
          <w:ilvl w:val="0"/>
          <w:numId w:val="1"/>
        </w:numPr>
        <w:tabs>
          <w:tab w:val="left" w:pos="720"/>
          <w:tab w:val="left" w:pos="900"/>
        </w:tabs>
        <w:jc w:val="both"/>
        <w:rPr>
          <w:rFonts w:ascii="Calibri" w:hAnsi="Calibri" w:cs="Calibri"/>
          <w:szCs w:val="24"/>
        </w:rPr>
      </w:pPr>
      <w:r w:rsidRPr="00F66643">
        <w:rPr>
          <w:rFonts w:ascii="Calibri" w:hAnsi="Calibri" w:cs="Calibri"/>
          <w:szCs w:val="24"/>
        </w:rPr>
        <w:t>Staff hours worked vs contracted hours.</w:t>
      </w:r>
    </w:p>
    <w:p w14:paraId="156DAAAF" w14:textId="77777777" w:rsidR="00E77D72" w:rsidRPr="00F66643" w:rsidRDefault="00E77D72" w:rsidP="00E77D72">
      <w:pPr>
        <w:numPr>
          <w:ilvl w:val="0"/>
          <w:numId w:val="1"/>
        </w:numPr>
        <w:tabs>
          <w:tab w:val="left" w:pos="720"/>
          <w:tab w:val="left" w:pos="900"/>
        </w:tabs>
        <w:jc w:val="both"/>
        <w:rPr>
          <w:rFonts w:ascii="Calibri" w:hAnsi="Calibri" w:cs="Calibri"/>
          <w:szCs w:val="24"/>
        </w:rPr>
      </w:pPr>
      <w:r w:rsidRPr="00F66643">
        <w:rPr>
          <w:rFonts w:ascii="Calibri" w:hAnsi="Calibri" w:cs="Calibri"/>
          <w:szCs w:val="24"/>
        </w:rPr>
        <w:t>Staff training planned and completed.</w:t>
      </w:r>
    </w:p>
    <w:p w14:paraId="2B39AA2F" w14:textId="77777777" w:rsidR="00E77D72" w:rsidRPr="0038363E" w:rsidRDefault="00E77D72" w:rsidP="00E77D72">
      <w:pPr>
        <w:numPr>
          <w:ilvl w:val="0"/>
          <w:numId w:val="1"/>
        </w:numPr>
        <w:tabs>
          <w:tab w:val="left" w:pos="720"/>
          <w:tab w:val="left" w:pos="900"/>
        </w:tabs>
        <w:jc w:val="both"/>
        <w:rPr>
          <w:rFonts w:ascii="Calibri" w:hAnsi="Calibri" w:cs="Calibri"/>
          <w:szCs w:val="24"/>
        </w:rPr>
      </w:pPr>
      <w:r w:rsidRPr="0038363E">
        <w:rPr>
          <w:rFonts w:ascii="Calibri" w:hAnsi="Calibri" w:cs="Calibri"/>
          <w:szCs w:val="24"/>
        </w:rPr>
        <w:t>A summary of (and explanation if necessary) of the register of complaints.</w:t>
      </w:r>
    </w:p>
    <w:p w14:paraId="5E428E2B" w14:textId="77777777" w:rsidR="00E77D72" w:rsidRPr="0038363E" w:rsidRDefault="00E77D72" w:rsidP="00CB0F51">
      <w:pPr>
        <w:numPr>
          <w:ilvl w:val="0"/>
          <w:numId w:val="1"/>
        </w:numPr>
        <w:tabs>
          <w:tab w:val="left" w:pos="720"/>
          <w:tab w:val="left" w:pos="900"/>
        </w:tabs>
        <w:ind w:left="709" w:hanging="425"/>
        <w:jc w:val="both"/>
        <w:rPr>
          <w:rFonts w:ascii="Calibri" w:hAnsi="Calibri" w:cs="Calibri"/>
          <w:szCs w:val="24"/>
        </w:rPr>
      </w:pPr>
      <w:r w:rsidRPr="0038363E">
        <w:rPr>
          <w:rFonts w:ascii="Calibri" w:hAnsi="Calibri" w:cs="Calibri"/>
          <w:szCs w:val="24"/>
        </w:rPr>
        <w:t xml:space="preserve">Confirmation that all employees working on </w:t>
      </w:r>
      <w:r w:rsidR="00F80ACD" w:rsidRPr="0038363E">
        <w:rPr>
          <w:rFonts w:ascii="Calibri" w:hAnsi="Calibri" w:cs="Calibri"/>
          <w:szCs w:val="24"/>
        </w:rPr>
        <w:t>Client</w:t>
      </w:r>
      <w:r w:rsidRPr="0038363E">
        <w:rPr>
          <w:rFonts w:ascii="Calibri" w:hAnsi="Calibri" w:cs="Calibri"/>
          <w:szCs w:val="24"/>
        </w:rPr>
        <w:t xml:space="preserve"> </w:t>
      </w:r>
      <w:r w:rsidR="00CB0F51" w:rsidRPr="0038363E">
        <w:rPr>
          <w:rFonts w:ascii="Calibri" w:hAnsi="Calibri" w:cs="Calibri"/>
          <w:szCs w:val="24"/>
        </w:rPr>
        <w:t xml:space="preserve">premises have been checked with the Disclosure and Barring Service </w:t>
      </w:r>
      <w:r w:rsidRPr="0038363E">
        <w:rPr>
          <w:rFonts w:ascii="Calibri" w:hAnsi="Calibri" w:cs="Calibri"/>
          <w:szCs w:val="24"/>
        </w:rPr>
        <w:t>for criminal convictions.</w:t>
      </w:r>
    </w:p>
    <w:p w14:paraId="3A54E369" w14:textId="77777777" w:rsidR="00E77D72" w:rsidRPr="0038363E" w:rsidRDefault="00E77D72" w:rsidP="00E77D72">
      <w:pPr>
        <w:numPr>
          <w:ilvl w:val="0"/>
          <w:numId w:val="1"/>
        </w:numPr>
        <w:tabs>
          <w:tab w:val="left" w:pos="720"/>
          <w:tab w:val="left" w:pos="900"/>
        </w:tabs>
        <w:jc w:val="both"/>
        <w:rPr>
          <w:rFonts w:ascii="Calibri" w:hAnsi="Calibri" w:cs="Calibri"/>
          <w:szCs w:val="24"/>
        </w:rPr>
      </w:pPr>
      <w:r w:rsidRPr="0038363E">
        <w:rPr>
          <w:rFonts w:ascii="Calibri" w:hAnsi="Calibri" w:cs="Calibri"/>
          <w:szCs w:val="24"/>
        </w:rPr>
        <w:t>Health &amp; Safety; Accident reporting, register of risk &amp; method statements.</w:t>
      </w:r>
    </w:p>
    <w:p w14:paraId="65A4FA2D" w14:textId="77777777" w:rsidR="00E77D72" w:rsidRPr="0038363E" w:rsidRDefault="00E77D72" w:rsidP="00E77D72">
      <w:pPr>
        <w:tabs>
          <w:tab w:val="left" w:pos="720"/>
          <w:tab w:val="left" w:pos="900"/>
        </w:tabs>
        <w:jc w:val="both"/>
        <w:rPr>
          <w:rFonts w:ascii="Calibri" w:hAnsi="Calibri" w:cs="Calibri"/>
          <w:szCs w:val="24"/>
        </w:rPr>
      </w:pPr>
    </w:p>
    <w:p w14:paraId="051E71AF" w14:textId="77777777" w:rsidR="00E77D72" w:rsidRPr="0038363E" w:rsidRDefault="00E77D72" w:rsidP="00E77D72">
      <w:pPr>
        <w:tabs>
          <w:tab w:val="left" w:pos="720"/>
          <w:tab w:val="left" w:pos="900"/>
        </w:tabs>
        <w:jc w:val="both"/>
        <w:rPr>
          <w:rFonts w:ascii="Calibri" w:hAnsi="Calibri" w:cs="Calibri"/>
          <w:szCs w:val="24"/>
          <w:u w:val="single"/>
        </w:rPr>
      </w:pPr>
      <w:r w:rsidRPr="0038363E">
        <w:rPr>
          <w:rFonts w:ascii="Calibri" w:hAnsi="Calibri" w:cs="Calibri"/>
          <w:szCs w:val="24"/>
          <w:u w:val="single"/>
        </w:rPr>
        <w:t>Quarterly Reports which shall include:</w:t>
      </w:r>
    </w:p>
    <w:p w14:paraId="7BFBF82C" w14:textId="77777777" w:rsidR="00E77D72" w:rsidRPr="0038363E" w:rsidRDefault="00E77D72" w:rsidP="00E77D72">
      <w:pPr>
        <w:numPr>
          <w:ilvl w:val="0"/>
          <w:numId w:val="2"/>
        </w:numPr>
        <w:tabs>
          <w:tab w:val="left" w:pos="720"/>
          <w:tab w:val="left" w:pos="900"/>
        </w:tabs>
        <w:jc w:val="both"/>
        <w:rPr>
          <w:rFonts w:ascii="Calibri" w:hAnsi="Calibri" w:cs="Calibri"/>
          <w:szCs w:val="24"/>
        </w:rPr>
      </w:pPr>
      <w:r w:rsidRPr="0038363E">
        <w:rPr>
          <w:rFonts w:ascii="Calibri" w:hAnsi="Calibri" w:cs="Calibri"/>
          <w:szCs w:val="24"/>
        </w:rPr>
        <w:t>A summary of the cumulative trends of the monthly reporting lines.</w:t>
      </w:r>
    </w:p>
    <w:p w14:paraId="0C6CB9A2" w14:textId="77777777" w:rsidR="00E77D72" w:rsidRPr="0038363E" w:rsidRDefault="00E77D72" w:rsidP="00E77D72">
      <w:pPr>
        <w:numPr>
          <w:ilvl w:val="0"/>
          <w:numId w:val="2"/>
        </w:numPr>
        <w:tabs>
          <w:tab w:val="left" w:pos="720"/>
          <w:tab w:val="left" w:pos="900"/>
        </w:tabs>
        <w:ind w:left="720" w:hanging="436"/>
        <w:jc w:val="both"/>
        <w:rPr>
          <w:rFonts w:ascii="Calibri" w:hAnsi="Calibri" w:cs="Calibri"/>
          <w:szCs w:val="24"/>
        </w:rPr>
      </w:pPr>
      <w:r w:rsidRPr="0038363E">
        <w:rPr>
          <w:rFonts w:ascii="Calibri" w:hAnsi="Calibri" w:cs="Calibri"/>
          <w:szCs w:val="24"/>
        </w:rPr>
        <w:t>A summary of what internal audits and quality checks have been carried out together with the finds, conclusions and subsequent actions.</w:t>
      </w:r>
    </w:p>
    <w:p w14:paraId="421A22E4" w14:textId="77777777" w:rsidR="00E77D72" w:rsidRPr="0038363E" w:rsidRDefault="00E77D72" w:rsidP="00E77D72">
      <w:pPr>
        <w:tabs>
          <w:tab w:val="left" w:pos="720"/>
          <w:tab w:val="left" w:pos="900"/>
        </w:tabs>
        <w:jc w:val="both"/>
        <w:rPr>
          <w:rFonts w:ascii="Calibri" w:hAnsi="Calibri" w:cs="Calibri"/>
          <w:szCs w:val="24"/>
        </w:rPr>
      </w:pPr>
    </w:p>
    <w:p w14:paraId="7FB950A7" w14:textId="77777777" w:rsidR="00E77D72" w:rsidRPr="0038363E" w:rsidRDefault="00E77D72" w:rsidP="00E77D72">
      <w:pPr>
        <w:tabs>
          <w:tab w:val="left" w:pos="720"/>
          <w:tab w:val="left" w:pos="900"/>
        </w:tabs>
        <w:jc w:val="both"/>
        <w:rPr>
          <w:rFonts w:ascii="Calibri" w:hAnsi="Calibri" w:cs="Calibri"/>
          <w:szCs w:val="24"/>
          <w:u w:val="single"/>
        </w:rPr>
      </w:pPr>
      <w:r w:rsidRPr="0038363E">
        <w:rPr>
          <w:rFonts w:ascii="Calibri" w:hAnsi="Calibri" w:cs="Calibri"/>
          <w:szCs w:val="24"/>
          <w:u w:val="single"/>
        </w:rPr>
        <w:t>Ad Hoc Reports</w:t>
      </w:r>
    </w:p>
    <w:p w14:paraId="03580FFB" w14:textId="77777777" w:rsidR="00E77D72" w:rsidRPr="0038363E" w:rsidRDefault="00E77D72" w:rsidP="00E77D72">
      <w:pPr>
        <w:tabs>
          <w:tab w:val="left" w:pos="720"/>
          <w:tab w:val="left" w:pos="900"/>
        </w:tabs>
        <w:jc w:val="both"/>
        <w:rPr>
          <w:rFonts w:ascii="Calibri" w:hAnsi="Calibri" w:cs="Calibri"/>
          <w:szCs w:val="24"/>
        </w:rPr>
      </w:pPr>
      <w:r w:rsidRPr="0038363E">
        <w:rPr>
          <w:rFonts w:ascii="Calibri" w:hAnsi="Calibri" w:cs="Calibri"/>
          <w:szCs w:val="24"/>
        </w:rPr>
        <w:t xml:space="preserve">From time to time the </w:t>
      </w:r>
      <w:r w:rsidR="00F80ACD" w:rsidRPr="0038363E">
        <w:rPr>
          <w:rFonts w:ascii="Calibri" w:hAnsi="Calibri" w:cs="Calibri"/>
          <w:szCs w:val="24"/>
        </w:rPr>
        <w:t>Client</w:t>
      </w:r>
      <w:r w:rsidRPr="0038363E">
        <w:rPr>
          <w:rFonts w:ascii="Calibri" w:hAnsi="Calibri" w:cs="Calibri"/>
          <w:szCs w:val="24"/>
        </w:rPr>
        <w:t xml:space="preserve"> may require ad hoc reports, additional to the regular reports, giving information on specific issues.</w:t>
      </w:r>
    </w:p>
    <w:p w14:paraId="6469C6A8" w14:textId="77777777" w:rsidR="001244C0" w:rsidRPr="0038363E" w:rsidRDefault="001244C0">
      <w:pPr>
        <w:rPr>
          <w:rFonts w:ascii="Calibri" w:hAnsi="Calibri" w:cs="Calibri"/>
          <w:szCs w:val="24"/>
        </w:rPr>
      </w:pPr>
    </w:p>
    <w:sectPr w:rsidR="001244C0" w:rsidRPr="0038363E" w:rsidSect="0038363E">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DF46" w14:textId="77777777" w:rsidR="00702862" w:rsidRDefault="00702862" w:rsidP="0038363E">
      <w:r>
        <w:separator/>
      </w:r>
    </w:p>
  </w:endnote>
  <w:endnote w:type="continuationSeparator" w:id="0">
    <w:p w14:paraId="07E03F45" w14:textId="77777777" w:rsidR="00702862" w:rsidRDefault="00702862" w:rsidP="0038363E">
      <w:r>
        <w:continuationSeparator/>
      </w:r>
    </w:p>
  </w:endnote>
  <w:endnote w:type="continuationNotice" w:id="1">
    <w:p w14:paraId="6A9979B9" w14:textId="77777777" w:rsidR="006B7FBD" w:rsidRDefault="006B7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Dem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A454" w14:textId="77777777" w:rsidR="0038363E" w:rsidRDefault="00383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79FE" w14:textId="77777777" w:rsidR="0038363E" w:rsidRDefault="00383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94F4" w14:textId="77777777" w:rsidR="0038363E" w:rsidRDefault="00383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6460D" w14:textId="77777777" w:rsidR="00702862" w:rsidRDefault="00702862" w:rsidP="0038363E">
      <w:r>
        <w:separator/>
      </w:r>
    </w:p>
  </w:footnote>
  <w:footnote w:type="continuationSeparator" w:id="0">
    <w:p w14:paraId="37B649A2" w14:textId="77777777" w:rsidR="00702862" w:rsidRDefault="00702862" w:rsidP="0038363E">
      <w:r>
        <w:continuationSeparator/>
      </w:r>
    </w:p>
  </w:footnote>
  <w:footnote w:type="continuationNotice" w:id="1">
    <w:p w14:paraId="08CA58FC" w14:textId="77777777" w:rsidR="006B7FBD" w:rsidRDefault="006B7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DE67" w14:textId="1BA7BF0B" w:rsidR="0038363E" w:rsidRDefault="00383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2825" w14:textId="0D58BB0D" w:rsidR="0038363E" w:rsidRDefault="00383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1C8A" w14:textId="23AC14D4" w:rsidR="0038363E" w:rsidRDefault="0038363E">
    <w:pPr>
      <w:pStyle w:val="Header"/>
    </w:pPr>
    <w:r>
      <w:rPr>
        <w:noProof/>
      </w:rPr>
      <w:drawing>
        <wp:anchor distT="0" distB="0" distL="114300" distR="114300" simplePos="0" relativeHeight="251658240" behindDoc="0" locked="0" layoutInCell="1" allowOverlap="1" wp14:anchorId="213E27D7" wp14:editId="688B147B">
          <wp:simplePos x="0" y="0"/>
          <wp:positionH relativeFrom="column">
            <wp:posOffset>-1143000</wp:posOffset>
          </wp:positionH>
          <wp:positionV relativeFrom="paragraph">
            <wp:posOffset>-448945</wp:posOffset>
          </wp:positionV>
          <wp:extent cx="7690485" cy="1460500"/>
          <wp:effectExtent l="0" t="0" r="0" b="0"/>
          <wp:wrapThrough wrapText="bothSides">
            <wp:wrapPolygon edited="0">
              <wp:start x="0" y="0"/>
              <wp:lineTo x="0" y="21412"/>
              <wp:lineTo x="21563" y="21412"/>
              <wp:lineTo x="21563" y="0"/>
              <wp:lineTo x="0" y="0"/>
            </wp:wrapPolygon>
          </wp:wrapThrough>
          <wp:docPr id="1" name="Picture 1" descr="A blue and yellow stri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striped objec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0485" cy="1460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7D1"/>
    <w:multiLevelType w:val="hybridMultilevel"/>
    <w:tmpl w:val="FECA139E"/>
    <w:lvl w:ilvl="0" w:tplc="626E8244">
      <w:start w:val="1"/>
      <w:numFmt w:val="bullet"/>
      <w:lvlText w:val=""/>
      <w:lvlJc w:val="left"/>
      <w:pPr>
        <w:tabs>
          <w:tab w:val="num" w:pos="284"/>
        </w:tabs>
        <w:ind w:left="567"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851BE4"/>
    <w:multiLevelType w:val="hybridMultilevel"/>
    <w:tmpl w:val="E9CE2F50"/>
    <w:lvl w:ilvl="0" w:tplc="626E8244">
      <w:start w:val="1"/>
      <w:numFmt w:val="bullet"/>
      <w:lvlText w:val=""/>
      <w:lvlJc w:val="left"/>
      <w:pPr>
        <w:tabs>
          <w:tab w:val="num" w:pos="284"/>
        </w:tabs>
        <w:ind w:left="567" w:hanging="283"/>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6895842">
    <w:abstractNumId w:val="1"/>
  </w:num>
  <w:num w:numId="2" w16cid:durableId="161201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D8"/>
    <w:rsid w:val="000563D8"/>
    <w:rsid w:val="000C465A"/>
    <w:rsid w:val="001244C0"/>
    <w:rsid w:val="00177C6D"/>
    <w:rsid w:val="001F048D"/>
    <w:rsid w:val="00353F0A"/>
    <w:rsid w:val="0038363E"/>
    <w:rsid w:val="00386948"/>
    <w:rsid w:val="00392818"/>
    <w:rsid w:val="004035CA"/>
    <w:rsid w:val="004048C2"/>
    <w:rsid w:val="00453A28"/>
    <w:rsid w:val="004842D4"/>
    <w:rsid w:val="00594068"/>
    <w:rsid w:val="006676EE"/>
    <w:rsid w:val="00672FE4"/>
    <w:rsid w:val="006B7FBD"/>
    <w:rsid w:val="00702862"/>
    <w:rsid w:val="007168AD"/>
    <w:rsid w:val="00795BEB"/>
    <w:rsid w:val="00837717"/>
    <w:rsid w:val="00910B0C"/>
    <w:rsid w:val="00924620"/>
    <w:rsid w:val="00A01985"/>
    <w:rsid w:val="00A234C4"/>
    <w:rsid w:val="00A65863"/>
    <w:rsid w:val="00A87613"/>
    <w:rsid w:val="00AE1E13"/>
    <w:rsid w:val="00C31E04"/>
    <w:rsid w:val="00C54E1E"/>
    <w:rsid w:val="00C83DCF"/>
    <w:rsid w:val="00CA2B6C"/>
    <w:rsid w:val="00CB0F51"/>
    <w:rsid w:val="00D52CE6"/>
    <w:rsid w:val="00DC708E"/>
    <w:rsid w:val="00E04CB9"/>
    <w:rsid w:val="00E77D72"/>
    <w:rsid w:val="00E95974"/>
    <w:rsid w:val="00ED168E"/>
    <w:rsid w:val="00F567BF"/>
    <w:rsid w:val="00F66643"/>
    <w:rsid w:val="00F80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CB3EC"/>
  <w15:chartTrackingRefBased/>
  <w15:docId w15:val="{9D5B8B08-8365-4AF9-8D74-5152A759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D7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7D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77D72"/>
    <w:rPr>
      <w:rFonts w:ascii="Arial" w:eastAsia="SimSun" w:hAnsi="Arial"/>
      <w:sz w:val="20"/>
      <w:lang w:eastAsia="zh-CN"/>
    </w:rPr>
  </w:style>
  <w:style w:type="paragraph" w:styleId="Header">
    <w:name w:val="header"/>
    <w:basedOn w:val="Normal"/>
    <w:link w:val="HeaderChar"/>
    <w:rsid w:val="0038363E"/>
    <w:pPr>
      <w:tabs>
        <w:tab w:val="center" w:pos="4513"/>
        <w:tab w:val="right" w:pos="9026"/>
      </w:tabs>
    </w:pPr>
  </w:style>
  <w:style w:type="character" w:customStyle="1" w:styleId="HeaderChar">
    <w:name w:val="Header Char"/>
    <w:basedOn w:val="DefaultParagraphFont"/>
    <w:link w:val="Header"/>
    <w:rsid w:val="0038363E"/>
    <w:rPr>
      <w:sz w:val="24"/>
    </w:rPr>
  </w:style>
  <w:style w:type="paragraph" w:styleId="Footer">
    <w:name w:val="footer"/>
    <w:basedOn w:val="Normal"/>
    <w:link w:val="FooterChar"/>
    <w:rsid w:val="0038363E"/>
    <w:pPr>
      <w:tabs>
        <w:tab w:val="center" w:pos="4513"/>
        <w:tab w:val="right" w:pos="9026"/>
      </w:tabs>
    </w:pPr>
  </w:style>
  <w:style w:type="character" w:customStyle="1" w:styleId="FooterChar">
    <w:name w:val="Footer Char"/>
    <w:basedOn w:val="DefaultParagraphFont"/>
    <w:link w:val="Footer"/>
    <w:rsid w:val="0038363E"/>
    <w:rPr>
      <w:sz w:val="24"/>
    </w:rPr>
  </w:style>
  <w:style w:type="character" w:styleId="CommentReference">
    <w:name w:val="annotation reference"/>
    <w:basedOn w:val="DefaultParagraphFont"/>
    <w:rsid w:val="000C465A"/>
    <w:rPr>
      <w:sz w:val="16"/>
      <w:szCs w:val="16"/>
    </w:rPr>
  </w:style>
  <w:style w:type="paragraph" w:styleId="CommentText">
    <w:name w:val="annotation text"/>
    <w:basedOn w:val="Normal"/>
    <w:link w:val="CommentTextChar"/>
    <w:rsid w:val="000C465A"/>
    <w:rPr>
      <w:sz w:val="20"/>
    </w:rPr>
  </w:style>
  <w:style w:type="character" w:customStyle="1" w:styleId="CommentTextChar">
    <w:name w:val="Comment Text Char"/>
    <w:basedOn w:val="DefaultParagraphFont"/>
    <w:link w:val="CommentText"/>
    <w:rsid w:val="000C465A"/>
  </w:style>
  <w:style w:type="paragraph" w:styleId="CommentSubject">
    <w:name w:val="annotation subject"/>
    <w:basedOn w:val="CommentText"/>
    <w:next w:val="CommentText"/>
    <w:link w:val="CommentSubjectChar"/>
    <w:rsid w:val="000C465A"/>
    <w:rPr>
      <w:b/>
      <w:bCs/>
    </w:rPr>
  </w:style>
  <w:style w:type="character" w:customStyle="1" w:styleId="CommentSubjectChar">
    <w:name w:val="Comment Subject Char"/>
    <w:basedOn w:val="CommentTextChar"/>
    <w:link w:val="CommentSubject"/>
    <w:rsid w:val="000C46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Whitehorn\CRESCENT%20PURCHASING%20LTD\CPC%20Consulting%20-%20TES\Procurement%20Templates\3.%20Tender_Packs\Mini_Comps\2024%20New\2024_08%20-%20CPC_Cleaning\4.%20Documents%20to%20publish\1.%20Drafts\2024_08%20-%20Example%20Service%2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PermissionLevels xmlns="9155b9f6-860a-4047-a3a4-80b086de82cc" xsi:nil="true"/>
    <lcf76f155ced4ddcb4097134ff3c332f xmlns="9155b9f6-860a-4047-a3a4-80b086de82cc">
      <Terms xmlns="http://schemas.microsoft.com/office/infopath/2007/PartnerControls"/>
    </lcf76f155ced4ddcb4097134ff3c332f>
    <_ip_UnifiedCompliancePolicyProperties xmlns="http://schemas.microsoft.com/sharepoint/v3" xsi:nil="true"/>
    <MigrationWizIdDocumentLibraryPermissions xmlns="9155b9f6-860a-4047-a3a4-80b086de82cc" xsi:nil="true"/>
    <MigrationWizId xmlns="9155b9f6-860a-4047-a3a4-80b086de82cc">ED32F8CCD0647100</MigrationWizId>
    <MigrationWizIdSecurityGroups xmlns="9155b9f6-860a-4047-a3a4-80b086de82cc" xsi:nil="true"/>
    <TaxCatchAll xmlns="88af7924-c5ef-49d8-adcc-76d4766852ff" xsi:nil="true"/>
    <MigrationWizIdPermissions xmlns="9155b9f6-860a-4047-a3a4-80b086de82cc" xsi:nil="true"/>
  </documentManagement>
</p:properties>
</file>

<file path=customXml/itemProps1.xml><?xml version="1.0" encoding="utf-8"?>
<ds:datastoreItem xmlns:ds="http://schemas.openxmlformats.org/officeDocument/2006/customXml" ds:itemID="{3CEB1909-BE91-491C-A368-D4C89967732A}">
  <ds:schemaRefs>
    <ds:schemaRef ds:uri="http://schemas.openxmlformats.org/officeDocument/2006/bibliography"/>
  </ds:schemaRefs>
</ds:datastoreItem>
</file>

<file path=customXml/itemProps2.xml><?xml version="1.0" encoding="utf-8"?>
<ds:datastoreItem xmlns:ds="http://schemas.openxmlformats.org/officeDocument/2006/customXml" ds:itemID="{67264817-C088-44DC-AAA8-0744384A38B0}">
  <ds:schemaRefs>
    <ds:schemaRef ds:uri="http://schemas.microsoft.com/office/2006/metadata/longProperties"/>
  </ds:schemaRefs>
</ds:datastoreItem>
</file>

<file path=customXml/itemProps3.xml><?xml version="1.0" encoding="utf-8"?>
<ds:datastoreItem xmlns:ds="http://schemas.openxmlformats.org/officeDocument/2006/customXml" ds:itemID="{F009FF57-8546-4491-A60D-3BD633845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112A4-37DD-4002-A77B-13A99DEBA2D6}">
  <ds:schemaRefs>
    <ds:schemaRef ds:uri="http://schemas.microsoft.com/sharepoint/v3/contenttype/forms"/>
  </ds:schemaRefs>
</ds:datastoreItem>
</file>

<file path=customXml/itemProps5.xml><?xml version="1.0" encoding="utf-8"?>
<ds:datastoreItem xmlns:ds="http://schemas.openxmlformats.org/officeDocument/2006/customXml" ds:itemID="{821B56E5-3B51-411E-99CA-B731404F4D35}">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docProps/app.xml><?xml version="1.0" encoding="utf-8"?>
<Properties xmlns="http://schemas.openxmlformats.org/officeDocument/2006/extended-properties" xmlns:vt="http://schemas.openxmlformats.org/officeDocument/2006/docPropsVTypes">
  <Template>2024_08%20-%20Example%20Service%20L</Template>
  <TotalTime>4</TotalTime>
  <Pages>1</Pages>
  <Words>623</Words>
  <Characters>3552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Service Level Agreement</vt:lpstr>
    </vt:vector>
  </TitlesOfParts>
  <Company>Tenet Education Services Ltd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dc:title>
  <dc:subject/>
  <dc:creator>Wendy Whitehorn</dc:creator>
  <cp:keywords/>
  <cp:lastModifiedBy>Eve Metcalfe</cp:lastModifiedBy>
  <cp:revision>7</cp:revision>
  <dcterms:created xsi:type="dcterms:W3CDTF">2025-03-20T18:37:00Z</dcterms:created>
  <dcterms:modified xsi:type="dcterms:W3CDTF">2025-04-30T12:44:00Z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2025-01-20T13:31:22Z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b0cc9460-026f-49d5-b6f6-f4f9643060ed</vt:lpwstr>
  </property>
  <property fmtid="{D5CDD505-2E9C-101B-9397-08002B2CF9AE}" pid="8" name="MSIP_Label_bf0c9547-2c42-4386-99e4-9fe57b352a4a_ContentBits">
    <vt:lpwstr>0</vt:lpwstr>
  </property>
  <property fmtid="{D5CDD505-2E9C-101B-9397-08002B2CF9AE}" pid="9" name="MediaServiceImageTags">
    <vt:lpwstr/>
  </property>
  <property fmtid="{D5CDD505-2E9C-101B-9397-08002B2CF9AE}" pid="10" name="ContentTypeId">
    <vt:lpwstr>0x010100AEE244670B39B94C839B788D272EFE22</vt:lpwstr>
  </property>
</Properties>
</file>